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644B8" w14:textId="77777777" w:rsidR="0051759B" w:rsidRPr="0009391A" w:rsidRDefault="0051759B" w:rsidP="0051759B">
      <w:pPr>
        <w:spacing w:before="240" w:after="240"/>
        <w:jc w:val="both"/>
        <w:rPr>
          <w:rFonts w:ascii="Inter" w:eastAsia="Inter" w:hAnsi="Inter" w:cs="Inter"/>
          <w:lang w:val="it-IT"/>
        </w:rPr>
      </w:pPr>
      <w:r>
        <w:rPr>
          <w:rFonts w:ascii="Inter" w:eastAsia="Inter" w:hAnsi="Inter" w:cs="Inter"/>
          <w:lang w:val="it-IT"/>
        </w:rPr>
        <w:t xml:space="preserve">International </w:t>
      </w:r>
      <w:proofErr w:type="spellStart"/>
      <w:r>
        <w:rPr>
          <w:rFonts w:ascii="Inter" w:eastAsia="Inter" w:hAnsi="Inter" w:cs="Inter"/>
          <w:lang w:val="it-IT"/>
        </w:rPr>
        <w:t>Rent</w:t>
      </w:r>
      <w:proofErr w:type="spellEnd"/>
      <w:r>
        <w:rPr>
          <w:rFonts w:ascii="Inter" w:eastAsia="Inter" w:hAnsi="Inter" w:cs="Inter"/>
          <w:lang w:val="it-IT"/>
        </w:rPr>
        <w:t xml:space="preserve"> Index</w:t>
      </w:r>
      <w:r w:rsidRPr="0009391A">
        <w:rPr>
          <w:rFonts w:ascii="Inter" w:eastAsia="Inter" w:hAnsi="Inter" w:cs="Inter"/>
          <w:lang w:val="it-IT"/>
        </w:rPr>
        <w:t xml:space="preserve"> di </w:t>
      </w:r>
      <w:proofErr w:type="spellStart"/>
      <w:r w:rsidRPr="0009391A">
        <w:rPr>
          <w:rFonts w:ascii="Inter" w:eastAsia="Inter" w:hAnsi="Inter" w:cs="Inter"/>
          <w:lang w:val="it-IT"/>
        </w:rPr>
        <w:t>HousingAnywhere</w:t>
      </w:r>
      <w:proofErr w:type="spellEnd"/>
      <w:r w:rsidRPr="0009391A">
        <w:rPr>
          <w:rFonts w:ascii="Inter" w:eastAsia="Inter" w:hAnsi="Inter" w:cs="Inter"/>
          <w:lang w:val="it-IT"/>
        </w:rPr>
        <w:t xml:space="preserve"> </w:t>
      </w:r>
      <w:r>
        <w:rPr>
          <w:rFonts w:ascii="Inter" w:eastAsia="Inter" w:hAnsi="Inter" w:cs="Inter"/>
          <w:lang w:val="it-IT"/>
        </w:rPr>
        <w:t>per il quarto trimestre del</w:t>
      </w:r>
      <w:r w:rsidRPr="0009391A">
        <w:rPr>
          <w:rFonts w:ascii="Inter" w:eastAsia="Inter" w:hAnsi="Inter" w:cs="Inter"/>
          <w:lang w:val="it-IT"/>
        </w:rPr>
        <w:t xml:space="preserve"> 2024</w:t>
      </w:r>
    </w:p>
    <w:p w14:paraId="22173FB5" w14:textId="77777777" w:rsidR="0051759B" w:rsidRPr="0009391A" w:rsidRDefault="0051759B" w:rsidP="0051759B">
      <w:pPr>
        <w:spacing w:before="240" w:after="240"/>
        <w:jc w:val="both"/>
        <w:rPr>
          <w:rFonts w:ascii="Inter" w:eastAsia="Inter" w:hAnsi="Inter" w:cs="Inter"/>
          <w:b/>
          <w:sz w:val="28"/>
          <w:szCs w:val="28"/>
          <w:lang w:val="it-IT"/>
        </w:rPr>
      </w:pPr>
      <w:r w:rsidRPr="0009391A">
        <w:rPr>
          <w:rFonts w:ascii="Inter" w:eastAsia="Inter" w:hAnsi="Inter" w:cs="Inter"/>
          <w:b/>
          <w:sz w:val="28"/>
          <w:szCs w:val="28"/>
          <w:lang w:val="it-IT"/>
        </w:rPr>
        <w:t xml:space="preserve">Il 2024 si </w:t>
      </w:r>
      <w:r>
        <w:rPr>
          <w:rFonts w:ascii="Inter" w:eastAsia="Inter" w:hAnsi="Inter" w:cs="Inter"/>
          <w:b/>
          <w:sz w:val="28"/>
          <w:szCs w:val="28"/>
          <w:lang w:val="it-IT"/>
        </w:rPr>
        <w:t>chiude</w:t>
      </w:r>
      <w:r w:rsidRPr="0009391A">
        <w:rPr>
          <w:rFonts w:ascii="Inter" w:eastAsia="Inter" w:hAnsi="Inter" w:cs="Inter"/>
          <w:b/>
          <w:sz w:val="28"/>
          <w:szCs w:val="28"/>
          <w:lang w:val="it-IT"/>
        </w:rPr>
        <w:t xml:space="preserve"> con un aumento annuo dei prezzi </w:t>
      </w:r>
      <w:r>
        <w:rPr>
          <w:rFonts w:ascii="Inter" w:eastAsia="Inter" w:hAnsi="Inter" w:cs="Inter"/>
          <w:b/>
          <w:sz w:val="28"/>
          <w:szCs w:val="28"/>
          <w:lang w:val="it-IT"/>
        </w:rPr>
        <w:t>di affitto</w:t>
      </w:r>
      <w:r w:rsidRPr="0009391A">
        <w:rPr>
          <w:rFonts w:ascii="Inter" w:eastAsia="Inter" w:hAnsi="Inter" w:cs="Inter"/>
          <w:b/>
          <w:sz w:val="28"/>
          <w:szCs w:val="28"/>
          <w:lang w:val="it-IT"/>
        </w:rPr>
        <w:t xml:space="preserve"> del 3,1%</w:t>
      </w:r>
    </w:p>
    <w:p w14:paraId="70F3B5B4" w14:textId="77777777" w:rsidR="0051759B" w:rsidRPr="0009391A" w:rsidRDefault="0051759B" w:rsidP="0051759B">
      <w:pPr>
        <w:numPr>
          <w:ilvl w:val="0"/>
          <w:numId w:val="1"/>
        </w:numPr>
        <w:spacing w:before="240"/>
        <w:jc w:val="both"/>
        <w:rPr>
          <w:rFonts w:ascii="Inter" w:eastAsia="Inter" w:hAnsi="Inter" w:cs="Inter"/>
          <w:lang w:val="it-IT"/>
        </w:rPr>
      </w:pPr>
      <w:r>
        <w:rPr>
          <w:rFonts w:ascii="Inter" w:eastAsia="Inter" w:hAnsi="Inter" w:cs="Inter"/>
          <w:lang w:val="it-IT"/>
        </w:rPr>
        <w:t xml:space="preserve">L’international </w:t>
      </w:r>
      <w:proofErr w:type="spellStart"/>
      <w:r>
        <w:rPr>
          <w:rFonts w:ascii="Inter" w:eastAsia="Inter" w:hAnsi="Inter" w:cs="Inter"/>
          <w:lang w:val="it-IT"/>
        </w:rPr>
        <w:t>Rent</w:t>
      </w:r>
      <w:proofErr w:type="spellEnd"/>
      <w:r>
        <w:rPr>
          <w:rFonts w:ascii="Inter" w:eastAsia="Inter" w:hAnsi="Inter" w:cs="Inter"/>
          <w:lang w:val="it-IT"/>
        </w:rPr>
        <w:t xml:space="preserve"> Index</w:t>
      </w:r>
      <w:r w:rsidRPr="0009391A">
        <w:rPr>
          <w:rFonts w:ascii="Inter" w:eastAsia="Inter" w:hAnsi="Inter" w:cs="Inter"/>
          <w:lang w:val="it-IT"/>
        </w:rPr>
        <w:t xml:space="preserve"> di </w:t>
      </w:r>
      <w:proofErr w:type="spellStart"/>
      <w:r w:rsidRPr="0009391A">
        <w:rPr>
          <w:rFonts w:ascii="Inter" w:eastAsia="Inter" w:hAnsi="Inter" w:cs="Inter"/>
          <w:lang w:val="it-IT"/>
        </w:rPr>
        <w:t>HousingAnywhere</w:t>
      </w:r>
      <w:proofErr w:type="spellEnd"/>
      <w:r w:rsidRPr="0009391A">
        <w:rPr>
          <w:rFonts w:ascii="Inter" w:eastAsia="Inter" w:hAnsi="Inter" w:cs="Inter"/>
          <w:lang w:val="it-IT"/>
        </w:rPr>
        <w:t xml:space="preserve"> </w:t>
      </w:r>
      <w:r>
        <w:rPr>
          <w:rFonts w:ascii="Inter" w:eastAsia="Inter" w:hAnsi="Inter" w:cs="Inter"/>
          <w:lang w:val="it-IT"/>
        </w:rPr>
        <w:t>per il quarto trimestre del</w:t>
      </w:r>
      <w:r w:rsidRPr="0009391A">
        <w:rPr>
          <w:rFonts w:ascii="Inter" w:eastAsia="Inter" w:hAnsi="Inter" w:cs="Inter"/>
          <w:lang w:val="it-IT"/>
        </w:rPr>
        <w:t xml:space="preserve"> 2024</w:t>
      </w:r>
      <w:r>
        <w:rPr>
          <w:rFonts w:ascii="Inter" w:eastAsia="Inter" w:hAnsi="Inter" w:cs="Inter"/>
          <w:lang w:val="it-IT"/>
        </w:rPr>
        <w:t xml:space="preserve"> </w:t>
      </w:r>
      <w:r w:rsidRPr="0009391A">
        <w:rPr>
          <w:rFonts w:ascii="Inter" w:eastAsia="Inter" w:hAnsi="Inter" w:cs="Inter"/>
          <w:lang w:val="it-IT"/>
        </w:rPr>
        <w:t>ha registrato l'aumento più basso dell'anno.</w:t>
      </w:r>
    </w:p>
    <w:p w14:paraId="508EA803" w14:textId="77777777" w:rsidR="0051759B" w:rsidRDefault="0051759B" w:rsidP="0051759B">
      <w:pPr>
        <w:numPr>
          <w:ilvl w:val="0"/>
          <w:numId w:val="1"/>
        </w:numPr>
        <w:spacing w:after="240"/>
        <w:jc w:val="both"/>
        <w:rPr>
          <w:rFonts w:ascii="Inter" w:eastAsia="Inter" w:hAnsi="Inter" w:cs="Inter"/>
          <w:lang w:val="it-IT"/>
        </w:rPr>
      </w:pPr>
      <w:r w:rsidRPr="0009391A">
        <w:rPr>
          <w:rFonts w:ascii="Inter" w:eastAsia="Inter" w:hAnsi="Inter" w:cs="Inter"/>
          <w:lang w:val="it-IT"/>
        </w:rPr>
        <w:t xml:space="preserve">Con </w:t>
      </w:r>
      <w:r>
        <w:rPr>
          <w:rFonts w:ascii="Inter" w:eastAsia="Inter" w:hAnsi="Inter" w:cs="Inter"/>
          <w:lang w:val="it-IT"/>
        </w:rPr>
        <w:t>il prezzo di un</w:t>
      </w:r>
      <w:r w:rsidRPr="0009391A">
        <w:rPr>
          <w:rFonts w:ascii="Inter" w:eastAsia="Inter" w:hAnsi="Inter" w:cs="Inter"/>
          <w:lang w:val="it-IT"/>
        </w:rPr>
        <w:t xml:space="preserve"> appartamento ammobiliato </w:t>
      </w:r>
      <w:r>
        <w:rPr>
          <w:rFonts w:ascii="Inter" w:eastAsia="Inter" w:hAnsi="Inter" w:cs="Inter"/>
          <w:lang w:val="it-IT"/>
        </w:rPr>
        <w:t>di</w:t>
      </w:r>
      <w:r w:rsidRPr="0009391A">
        <w:rPr>
          <w:rFonts w:ascii="Inter" w:eastAsia="Inter" w:hAnsi="Inter" w:cs="Inter"/>
          <w:lang w:val="it-IT"/>
        </w:rPr>
        <w:t xml:space="preserve"> 2.164 euro ad Amsterdam e 2.000 euro a Roma, l'accessibilità degli alloggi rimarrà una sfida </w:t>
      </w:r>
      <w:r>
        <w:rPr>
          <w:rFonts w:ascii="Inter" w:eastAsia="Inter" w:hAnsi="Inter" w:cs="Inter"/>
          <w:lang w:val="it-IT"/>
        </w:rPr>
        <w:t xml:space="preserve">centrale </w:t>
      </w:r>
      <w:r w:rsidRPr="0009391A">
        <w:rPr>
          <w:rFonts w:ascii="Inter" w:eastAsia="Inter" w:hAnsi="Inter" w:cs="Inter"/>
          <w:lang w:val="it-IT"/>
        </w:rPr>
        <w:t>per l'Europa nel 2025.</w:t>
      </w:r>
    </w:p>
    <w:p w14:paraId="0BD04B0B" w14:textId="61F61DF7" w:rsidR="0051759B" w:rsidRPr="00547552" w:rsidRDefault="0051759B" w:rsidP="0051759B">
      <w:pPr>
        <w:numPr>
          <w:ilvl w:val="0"/>
          <w:numId w:val="1"/>
        </w:numPr>
        <w:spacing w:before="240" w:after="240"/>
        <w:jc w:val="both"/>
        <w:rPr>
          <w:rFonts w:ascii="Inter" w:eastAsia="Inter" w:hAnsi="Inter" w:cs="Inter"/>
          <w:lang w:val="it-IT"/>
        </w:rPr>
      </w:pPr>
      <w:r w:rsidRPr="00547552">
        <w:rPr>
          <w:rFonts w:ascii="Inter" w:eastAsia="Inter" w:hAnsi="Inter" w:cs="Inter"/>
          <w:lang w:val="it-IT"/>
        </w:rPr>
        <w:t xml:space="preserve">In Italia lo scenario è variegato: salgono i prezzi degli appartamenti in particolare a </w:t>
      </w:r>
      <w:r w:rsidRPr="00547552">
        <w:rPr>
          <w:rFonts w:ascii="Inter" w:eastAsia="Inter" w:hAnsi="Inter" w:cs="Inter"/>
          <w:b/>
          <w:bCs/>
          <w:lang w:val="it-IT"/>
        </w:rPr>
        <w:t>Torino</w:t>
      </w:r>
      <w:r w:rsidRPr="00547552">
        <w:rPr>
          <w:rFonts w:ascii="Inter" w:eastAsia="Inter" w:hAnsi="Inter" w:cs="Inter"/>
          <w:lang w:val="it-IT"/>
        </w:rPr>
        <w:t xml:space="preserve"> (15,8%) fino a 1.100 euro, Roma rimane la seconda della ricerca per i prezzi </w:t>
      </w:r>
      <w:r w:rsidR="00547552" w:rsidRPr="00547552">
        <w:rPr>
          <w:rFonts w:ascii="Inter" w:eastAsia="Inter" w:hAnsi="Inter" w:cs="Inter"/>
          <w:lang w:val="it-IT"/>
        </w:rPr>
        <w:t xml:space="preserve">assoluti </w:t>
      </w:r>
      <w:r w:rsidRPr="00547552">
        <w:rPr>
          <w:rFonts w:ascii="Inter" w:eastAsia="Inter" w:hAnsi="Inter" w:cs="Inter"/>
          <w:lang w:val="it-IT"/>
        </w:rPr>
        <w:t xml:space="preserve">(fino a 2.000 euro), per le stanze </w:t>
      </w:r>
      <w:r w:rsidRPr="00547552">
        <w:rPr>
          <w:rFonts w:ascii="Inter" w:eastAsia="Inter" w:hAnsi="Inter" w:cs="Inter"/>
          <w:b/>
          <w:bCs/>
          <w:lang w:val="it-IT"/>
        </w:rPr>
        <w:t>Bologna</w:t>
      </w:r>
      <w:r w:rsidRPr="00547552">
        <w:rPr>
          <w:rFonts w:ascii="Inter" w:eastAsia="Inter" w:hAnsi="Inter" w:cs="Inter"/>
          <w:lang w:val="it-IT"/>
        </w:rPr>
        <w:t xml:space="preserve"> ha registrato il record </w:t>
      </w:r>
      <w:r w:rsidR="00C90DCB" w:rsidRPr="00547552">
        <w:rPr>
          <w:rFonts w:ascii="Inter" w:eastAsia="Inter" w:hAnsi="Inter" w:cs="Inter"/>
          <w:lang w:val="it-IT"/>
        </w:rPr>
        <w:t xml:space="preserve">per rincaro </w:t>
      </w:r>
      <w:r w:rsidRPr="00547552">
        <w:rPr>
          <w:rFonts w:ascii="Inter" w:eastAsia="Inter" w:hAnsi="Inter" w:cs="Inter"/>
          <w:lang w:val="it-IT"/>
        </w:rPr>
        <w:t>(16,7%, fino a 700 euro), mentre per i monolocali Torino diventa più accessibile perdendo il 19,3% (605 euro).</w:t>
      </w:r>
    </w:p>
    <w:p w14:paraId="50DB9134" w14:textId="77777777" w:rsidR="0051759B" w:rsidRPr="00031EE6" w:rsidRDefault="0051759B" w:rsidP="0051759B">
      <w:pPr>
        <w:spacing w:before="240" w:after="240"/>
        <w:jc w:val="both"/>
        <w:rPr>
          <w:rFonts w:ascii="Inter" w:eastAsia="Inter" w:hAnsi="Inter" w:cs="Inter"/>
          <w:lang w:val="it-IT"/>
        </w:rPr>
      </w:pPr>
      <w:r w:rsidRPr="00031EE6">
        <w:rPr>
          <w:rFonts w:ascii="Inter" w:eastAsia="Inter" w:hAnsi="Inter" w:cs="Inter"/>
          <w:b/>
          <w:lang w:val="it-IT"/>
        </w:rPr>
        <w:t xml:space="preserve">Milano, </w:t>
      </w:r>
      <w:r w:rsidRPr="00547552">
        <w:rPr>
          <w:rFonts w:ascii="Inter" w:eastAsia="Inter" w:hAnsi="Inter" w:cs="Inter"/>
          <w:b/>
          <w:lang w:val="it-IT"/>
        </w:rPr>
        <w:t>8</w:t>
      </w:r>
      <w:r w:rsidRPr="00031EE6">
        <w:rPr>
          <w:rFonts w:ascii="Inter" w:eastAsia="Inter" w:hAnsi="Inter" w:cs="Inter"/>
          <w:b/>
          <w:lang w:val="it-IT"/>
        </w:rPr>
        <w:t xml:space="preserve"> gennaio 2025</w:t>
      </w:r>
      <w:r w:rsidRPr="00031EE6">
        <w:rPr>
          <w:rFonts w:ascii="Inter" w:eastAsia="Inter" w:hAnsi="Inter" w:cs="Inter"/>
          <w:lang w:val="it-IT"/>
        </w:rPr>
        <w:t xml:space="preserve"> –</w:t>
      </w:r>
      <w:r>
        <w:rPr>
          <w:rFonts w:ascii="Inter" w:eastAsia="Inter" w:hAnsi="Inter" w:cs="Inter"/>
          <w:lang w:val="it-IT"/>
        </w:rPr>
        <w:t xml:space="preserve"> Come ogni trimestre,</w:t>
      </w:r>
      <w:r w:rsidRPr="00031EE6">
        <w:rPr>
          <w:rFonts w:ascii="Inter" w:eastAsia="Inter" w:hAnsi="Inter" w:cs="Inter"/>
          <w:lang w:val="it-IT"/>
        </w:rPr>
        <w:t xml:space="preserve"> </w:t>
      </w:r>
      <w:proofErr w:type="spellStart"/>
      <w:r w:rsidRPr="005F52C5">
        <w:rPr>
          <w:rFonts w:ascii="Inter" w:eastAsia="Inter" w:hAnsi="Inter" w:cs="Inter"/>
          <w:b/>
          <w:bCs/>
          <w:lang w:val="it-IT"/>
        </w:rPr>
        <w:t>HousingAnywhere</w:t>
      </w:r>
      <w:proofErr w:type="spellEnd"/>
      <w:r w:rsidRPr="00031EE6">
        <w:rPr>
          <w:rFonts w:ascii="Inter" w:eastAsia="Inter" w:hAnsi="Inter" w:cs="Inter"/>
          <w:lang w:val="it-IT"/>
        </w:rPr>
        <w:t xml:space="preserve">, la piattaforma europea di affitti a medio termine, ha analizzato i prezzi di affitto di +78.000 appartamenti, camere e monolocali arredati da una a tre camere da letto in 28 città in 12 paesi europei. </w:t>
      </w:r>
    </w:p>
    <w:p w14:paraId="125E582D" w14:textId="77777777" w:rsidR="0051759B" w:rsidRDefault="0051759B" w:rsidP="0051759B">
      <w:pPr>
        <w:spacing w:before="240" w:after="240"/>
        <w:jc w:val="both"/>
        <w:rPr>
          <w:rFonts w:ascii="Inter" w:eastAsia="Inter" w:hAnsi="Inter" w:cs="Inter"/>
          <w:lang w:val="it-IT"/>
        </w:rPr>
      </w:pPr>
      <w:r w:rsidRPr="0009391A">
        <w:rPr>
          <w:rFonts w:ascii="Inter" w:eastAsia="Inter" w:hAnsi="Inter" w:cs="Inter"/>
          <w:lang w:val="it-IT"/>
        </w:rPr>
        <w:t>L'</w:t>
      </w:r>
      <w:hyperlink r:id="rId7">
        <w:r>
          <w:rPr>
            <w:rFonts w:ascii="Inter" w:eastAsia="Inter" w:hAnsi="Inter" w:cs="Inter"/>
            <w:color w:val="1155CC"/>
            <w:u w:val="single"/>
            <w:lang w:val="it-IT"/>
          </w:rPr>
          <w:t xml:space="preserve">International </w:t>
        </w:r>
        <w:proofErr w:type="spellStart"/>
        <w:r>
          <w:rPr>
            <w:rFonts w:ascii="Inter" w:eastAsia="Inter" w:hAnsi="Inter" w:cs="Inter"/>
            <w:color w:val="1155CC"/>
            <w:u w:val="single"/>
            <w:lang w:val="it-IT"/>
          </w:rPr>
          <w:t>Rent</w:t>
        </w:r>
        <w:proofErr w:type="spellEnd"/>
        <w:r>
          <w:rPr>
            <w:rFonts w:ascii="Inter" w:eastAsia="Inter" w:hAnsi="Inter" w:cs="Inter"/>
            <w:color w:val="1155CC"/>
            <w:u w:val="single"/>
            <w:lang w:val="it-IT"/>
          </w:rPr>
          <w:t xml:space="preserve"> Index di </w:t>
        </w:r>
        <w:proofErr w:type="spellStart"/>
        <w:r>
          <w:rPr>
            <w:rFonts w:ascii="Inter" w:eastAsia="Inter" w:hAnsi="Inter" w:cs="Inter"/>
            <w:color w:val="1155CC"/>
            <w:u w:val="single"/>
            <w:lang w:val="it-IT"/>
          </w:rPr>
          <w:t>HousingAnywhere</w:t>
        </w:r>
        <w:proofErr w:type="spellEnd"/>
      </w:hyperlink>
      <w:r w:rsidRPr="0009391A">
        <w:rPr>
          <w:rFonts w:ascii="Inter" w:eastAsia="Inter" w:hAnsi="Inter" w:cs="Inter"/>
          <w:lang w:val="it-IT"/>
        </w:rPr>
        <w:t xml:space="preserve"> per città per il </w:t>
      </w:r>
      <w:r>
        <w:rPr>
          <w:rFonts w:ascii="Inter" w:eastAsia="Inter" w:hAnsi="Inter" w:cs="Inter"/>
          <w:lang w:val="it-IT"/>
        </w:rPr>
        <w:t>quarto</w:t>
      </w:r>
      <w:r w:rsidRPr="0009391A">
        <w:rPr>
          <w:rFonts w:ascii="Inter" w:eastAsia="Inter" w:hAnsi="Inter" w:cs="Inter"/>
          <w:lang w:val="it-IT"/>
        </w:rPr>
        <w:t xml:space="preserve"> trimestre </w:t>
      </w:r>
      <w:r>
        <w:rPr>
          <w:rFonts w:ascii="Inter" w:eastAsia="Inter" w:hAnsi="Inter" w:cs="Inter"/>
          <w:lang w:val="it-IT"/>
        </w:rPr>
        <w:t xml:space="preserve">del </w:t>
      </w:r>
      <w:r w:rsidRPr="0009391A">
        <w:rPr>
          <w:rFonts w:ascii="Inter" w:eastAsia="Inter" w:hAnsi="Inter" w:cs="Inter"/>
          <w:lang w:val="it-IT"/>
        </w:rPr>
        <w:t xml:space="preserve">2024 ha registrato un </w:t>
      </w:r>
      <w:r w:rsidRPr="0009391A">
        <w:rPr>
          <w:rFonts w:ascii="Inter" w:eastAsia="Inter" w:hAnsi="Inter" w:cs="Inter"/>
          <w:b/>
          <w:lang w:val="it-IT"/>
        </w:rPr>
        <w:t xml:space="preserve">aumento </w:t>
      </w:r>
      <w:r>
        <w:rPr>
          <w:rFonts w:ascii="Inter" w:eastAsia="Inter" w:hAnsi="Inter" w:cs="Inter"/>
          <w:b/>
          <w:lang w:val="it-IT"/>
        </w:rPr>
        <w:t xml:space="preserve">medio </w:t>
      </w:r>
      <w:r w:rsidRPr="0009391A">
        <w:rPr>
          <w:rFonts w:ascii="Inter" w:eastAsia="Inter" w:hAnsi="Inter" w:cs="Inter"/>
          <w:b/>
          <w:lang w:val="it-IT"/>
        </w:rPr>
        <w:t>annuo del 3,1% dei prezzi degli affitti</w:t>
      </w:r>
      <w:r>
        <w:rPr>
          <w:rFonts w:ascii="Inter" w:eastAsia="Inter" w:hAnsi="Inter" w:cs="Inter"/>
          <w:lang w:val="it-IT"/>
        </w:rPr>
        <w:t xml:space="preserve">, </w:t>
      </w:r>
      <w:r w:rsidRPr="0009391A">
        <w:rPr>
          <w:rFonts w:ascii="Inter" w:eastAsia="Inter" w:hAnsi="Inter" w:cs="Inter"/>
          <w:lang w:val="it-IT"/>
        </w:rPr>
        <w:t xml:space="preserve">osservato in tutte le tipologie di immobili analizzate: 3,6% per gli appartamenti, 2,6% per le camere e 2,9% per i monolocali. </w:t>
      </w:r>
    </w:p>
    <w:p w14:paraId="4869797C" w14:textId="77777777" w:rsidR="0051759B" w:rsidRPr="0009391A" w:rsidRDefault="0051759B" w:rsidP="0051759B">
      <w:pPr>
        <w:spacing w:before="240" w:after="240"/>
        <w:jc w:val="both"/>
        <w:rPr>
          <w:rFonts w:ascii="Inter" w:eastAsia="Inter" w:hAnsi="Inter" w:cs="Inter"/>
          <w:lang w:val="it-IT"/>
        </w:rPr>
      </w:pPr>
      <w:r w:rsidRPr="0009391A">
        <w:rPr>
          <w:rFonts w:ascii="Inter" w:eastAsia="Inter" w:hAnsi="Inter" w:cs="Inter"/>
          <w:lang w:val="it-IT"/>
        </w:rPr>
        <w:t xml:space="preserve">In città come Amsterdam e Roma, affittare un appartamento ammobiliato da una a tre camere da letto </w:t>
      </w:r>
      <w:r>
        <w:rPr>
          <w:rFonts w:ascii="Inter" w:eastAsia="Inter" w:hAnsi="Inter" w:cs="Inter"/>
          <w:lang w:val="it-IT"/>
        </w:rPr>
        <w:t>arriva a costare</w:t>
      </w:r>
      <w:r w:rsidRPr="0009391A">
        <w:rPr>
          <w:rFonts w:ascii="Inter" w:eastAsia="Inter" w:hAnsi="Inter" w:cs="Inter"/>
          <w:lang w:val="it-IT"/>
        </w:rPr>
        <w:t xml:space="preserve"> ancora oltre 2.000 euro.</w:t>
      </w:r>
    </w:p>
    <w:p w14:paraId="11665A4C" w14:textId="77777777" w:rsidR="0051759B" w:rsidRPr="0009391A" w:rsidRDefault="0051759B" w:rsidP="0051759B">
      <w:pPr>
        <w:spacing w:before="240" w:after="240"/>
        <w:jc w:val="both"/>
        <w:rPr>
          <w:rFonts w:ascii="Inter" w:eastAsia="Inter" w:hAnsi="Inter" w:cs="Inter"/>
          <w:lang w:val="it-IT"/>
        </w:rPr>
      </w:pPr>
      <w:r w:rsidRPr="0009391A">
        <w:rPr>
          <w:rFonts w:ascii="Inter" w:eastAsia="Inter" w:hAnsi="Inter" w:cs="Inter"/>
          <w:b/>
          <w:sz w:val="24"/>
          <w:szCs w:val="24"/>
          <w:lang w:val="it-IT"/>
        </w:rPr>
        <w:t>L'aumento più basso dell'anno</w:t>
      </w:r>
      <w:r w:rsidRPr="0009391A">
        <w:rPr>
          <w:rFonts w:ascii="Inter" w:eastAsia="Inter" w:hAnsi="Inter" w:cs="Inter"/>
          <w:b/>
          <w:lang w:val="it-IT"/>
        </w:rPr>
        <w:br/>
      </w:r>
      <w:r w:rsidRPr="0009391A">
        <w:rPr>
          <w:rFonts w:ascii="Inter" w:eastAsia="Inter" w:hAnsi="Inter" w:cs="Inter"/>
          <w:lang w:val="it-IT"/>
        </w:rPr>
        <w:t xml:space="preserve">I prezzi degli affitti hanno continuato a salire per tutto il 2024, ma l'aumento annuo del 3,1% </w:t>
      </w:r>
      <w:r>
        <w:rPr>
          <w:rFonts w:ascii="Inter" w:eastAsia="Inter" w:hAnsi="Inter" w:cs="Inter"/>
          <w:lang w:val="it-IT"/>
        </w:rPr>
        <w:t xml:space="preserve">in questo ultimo trimestre </w:t>
      </w:r>
      <w:r w:rsidRPr="0009391A">
        <w:rPr>
          <w:rFonts w:ascii="Inter" w:eastAsia="Inter" w:hAnsi="Inter" w:cs="Inter"/>
          <w:lang w:val="it-IT"/>
        </w:rPr>
        <w:t>ha segnato il tasso di crescita più basso degli ultimi anni.</w:t>
      </w:r>
    </w:p>
    <w:p w14:paraId="1EA2DDB1" w14:textId="77777777" w:rsidR="0051759B" w:rsidRPr="0009391A" w:rsidRDefault="0051759B" w:rsidP="0051759B">
      <w:pPr>
        <w:spacing w:before="240" w:after="240"/>
        <w:jc w:val="both"/>
        <w:rPr>
          <w:rFonts w:ascii="Inter" w:eastAsia="Inter" w:hAnsi="Inter" w:cs="Inter"/>
          <w:b/>
          <w:lang w:val="it-IT"/>
        </w:rPr>
      </w:pPr>
      <w:r w:rsidRPr="0009391A">
        <w:rPr>
          <w:rFonts w:ascii="Inter" w:eastAsia="Inter" w:hAnsi="Inter" w:cs="Inter"/>
          <w:i/>
          <w:lang w:val="it-IT"/>
        </w:rPr>
        <w:t xml:space="preserve">"Nonostante la chiusura del 2024 con un aumento dei prezzi inferiore rispetto agli anni precedenti, l'accesso ad alloggi a prezzi accessibili rimarrà una delle maggiori sfide per i governi europei nel 2025. </w:t>
      </w:r>
      <w:r>
        <w:rPr>
          <w:rFonts w:ascii="Inter" w:eastAsia="Inter" w:hAnsi="Inter" w:cs="Inter"/>
          <w:i/>
          <w:lang w:val="it-IT"/>
        </w:rPr>
        <w:t>Questo tema</w:t>
      </w:r>
      <w:r w:rsidRPr="0009391A">
        <w:rPr>
          <w:rFonts w:ascii="Inter" w:eastAsia="Inter" w:hAnsi="Inter" w:cs="Inter"/>
          <w:i/>
          <w:lang w:val="it-IT"/>
        </w:rPr>
        <w:t xml:space="preserve"> crea un ostacolo alla crescita per le famiglie, gli studenti e i giovani professionisti in cerca di nuove opportunità. Il 2025 dovrebbe essere il momento di fare un significativo passo avanti nella creazione di nuove opzioni abitative", </w:t>
      </w:r>
      <w:r w:rsidRPr="0009391A">
        <w:rPr>
          <w:rFonts w:ascii="Inter" w:eastAsia="Inter" w:hAnsi="Inter" w:cs="Inter"/>
          <w:lang w:val="it-IT"/>
        </w:rPr>
        <w:t xml:space="preserve">ha dichiarato </w:t>
      </w:r>
      <w:proofErr w:type="spellStart"/>
      <w:r w:rsidRPr="0009391A">
        <w:rPr>
          <w:rFonts w:ascii="Inter" w:eastAsia="Inter" w:hAnsi="Inter" w:cs="Inter"/>
          <w:b/>
          <w:lang w:val="it-IT"/>
        </w:rPr>
        <w:t>Djordy</w:t>
      </w:r>
      <w:proofErr w:type="spellEnd"/>
      <w:r w:rsidRPr="0009391A">
        <w:rPr>
          <w:rFonts w:ascii="Inter" w:eastAsia="Inter" w:hAnsi="Inter" w:cs="Inter"/>
          <w:b/>
          <w:lang w:val="it-IT"/>
        </w:rPr>
        <w:t xml:space="preserve"> </w:t>
      </w:r>
      <w:proofErr w:type="spellStart"/>
      <w:r w:rsidRPr="0009391A">
        <w:rPr>
          <w:rFonts w:ascii="Inter" w:eastAsia="Inter" w:hAnsi="Inter" w:cs="Inter"/>
          <w:b/>
          <w:lang w:val="it-IT"/>
        </w:rPr>
        <w:t>Seelmann</w:t>
      </w:r>
      <w:proofErr w:type="spellEnd"/>
      <w:r w:rsidRPr="0009391A">
        <w:rPr>
          <w:rFonts w:ascii="Inter" w:eastAsia="Inter" w:hAnsi="Inter" w:cs="Inter"/>
          <w:b/>
          <w:lang w:val="it-IT"/>
        </w:rPr>
        <w:t xml:space="preserve">, CEO di </w:t>
      </w:r>
      <w:proofErr w:type="spellStart"/>
      <w:r w:rsidRPr="0009391A">
        <w:rPr>
          <w:rFonts w:ascii="Inter" w:eastAsia="Inter" w:hAnsi="Inter" w:cs="Inter"/>
          <w:b/>
          <w:lang w:val="it-IT"/>
        </w:rPr>
        <w:t>HousingAnywhere</w:t>
      </w:r>
      <w:proofErr w:type="spellEnd"/>
      <w:r w:rsidRPr="0009391A">
        <w:rPr>
          <w:rFonts w:ascii="Inter" w:eastAsia="Inter" w:hAnsi="Inter" w:cs="Inter"/>
          <w:b/>
          <w:lang w:val="it-IT"/>
        </w:rPr>
        <w:t>.</w:t>
      </w:r>
    </w:p>
    <w:p w14:paraId="691F9F19" w14:textId="77777777" w:rsidR="0051759B" w:rsidRDefault="0051759B" w:rsidP="0051759B">
      <w:pPr>
        <w:spacing w:before="240" w:after="240"/>
        <w:jc w:val="center"/>
        <w:rPr>
          <w:rFonts w:ascii="Inter" w:eastAsia="Inter" w:hAnsi="Inter" w:cs="Inter"/>
        </w:rPr>
      </w:pPr>
      <w:r>
        <w:rPr>
          <w:rFonts w:ascii="Inter" w:eastAsia="Inter" w:hAnsi="Inter" w:cs="Inter"/>
          <w:noProof/>
        </w:rPr>
        <w:lastRenderedPageBreak/>
        <w:drawing>
          <wp:inline distT="114300" distB="114300" distL="114300" distR="114300" wp14:anchorId="358B4A62" wp14:editId="3BB15111">
            <wp:extent cx="4124325" cy="1609183"/>
            <wp:effectExtent l="0" t="0" r="0" b="0"/>
            <wp:docPr id="1418471728" name="image1.png" descr="Tabella"/>
            <wp:cNvGraphicFramePr/>
            <a:graphic xmlns:a="http://schemas.openxmlformats.org/drawingml/2006/main">
              <a:graphicData uri="http://schemas.openxmlformats.org/drawingml/2006/picture">
                <pic:pic xmlns:pic="http://schemas.openxmlformats.org/drawingml/2006/picture">
                  <pic:nvPicPr>
                    <pic:cNvPr id="0" name="image1.png" descr="Chart"/>
                    <pic:cNvPicPr preferRelativeResize="0"/>
                  </pic:nvPicPr>
                  <pic:blipFill>
                    <a:blip r:embed="rId8"/>
                    <a:srcRect/>
                    <a:stretch>
                      <a:fillRect/>
                    </a:stretch>
                  </pic:blipFill>
                  <pic:spPr>
                    <a:xfrm>
                      <a:off x="0" y="0"/>
                      <a:ext cx="4124325" cy="1609183"/>
                    </a:xfrm>
                    <a:prstGeom prst="rect">
                      <a:avLst/>
                    </a:prstGeom>
                    <a:ln/>
                  </pic:spPr>
                </pic:pic>
              </a:graphicData>
            </a:graphic>
          </wp:inline>
        </w:drawing>
      </w:r>
    </w:p>
    <w:p w14:paraId="7D276D14" w14:textId="77777777" w:rsidR="0051759B" w:rsidRPr="0009391A" w:rsidRDefault="0051759B" w:rsidP="0051759B">
      <w:pPr>
        <w:spacing w:before="240" w:after="240"/>
        <w:jc w:val="both"/>
        <w:rPr>
          <w:rFonts w:ascii="Inter" w:eastAsia="Inter" w:hAnsi="Inter" w:cs="Inter"/>
          <w:i/>
          <w:sz w:val="18"/>
          <w:szCs w:val="18"/>
          <w:lang w:val="it-IT"/>
        </w:rPr>
      </w:pPr>
      <w:r w:rsidRPr="0009391A">
        <w:rPr>
          <w:rFonts w:ascii="Inter" w:eastAsia="Inter" w:hAnsi="Inter" w:cs="Inter"/>
          <w:b/>
          <w:sz w:val="18"/>
          <w:szCs w:val="18"/>
          <w:lang w:val="it-IT"/>
        </w:rPr>
        <w:t xml:space="preserve">Aumento annuale del prezzo di affitto registrato in ogni trimestre negli ultimi </w:t>
      </w:r>
      <w:proofErr w:type="gramStart"/>
      <w:r w:rsidRPr="0009391A">
        <w:rPr>
          <w:rFonts w:ascii="Inter" w:eastAsia="Inter" w:hAnsi="Inter" w:cs="Inter"/>
          <w:b/>
          <w:sz w:val="18"/>
          <w:szCs w:val="18"/>
          <w:lang w:val="it-IT"/>
        </w:rPr>
        <w:t>2</w:t>
      </w:r>
      <w:proofErr w:type="gramEnd"/>
      <w:r w:rsidRPr="0009391A">
        <w:rPr>
          <w:rFonts w:ascii="Inter" w:eastAsia="Inter" w:hAnsi="Inter" w:cs="Inter"/>
          <w:b/>
          <w:sz w:val="18"/>
          <w:szCs w:val="18"/>
          <w:lang w:val="it-IT"/>
        </w:rPr>
        <w:t xml:space="preserve"> anni.</w:t>
      </w:r>
      <w:r w:rsidRPr="0009391A">
        <w:rPr>
          <w:rFonts w:ascii="Inter" w:eastAsia="Inter" w:hAnsi="Inter" w:cs="Inter"/>
          <w:b/>
          <w:sz w:val="18"/>
          <w:szCs w:val="18"/>
          <w:lang w:val="it-IT"/>
        </w:rPr>
        <w:br/>
      </w:r>
      <w:r w:rsidRPr="0009391A">
        <w:rPr>
          <w:rFonts w:ascii="Inter" w:eastAsia="Inter" w:hAnsi="Inter" w:cs="Inter"/>
          <w:i/>
          <w:sz w:val="18"/>
          <w:szCs w:val="18"/>
          <w:lang w:val="it-IT"/>
        </w:rPr>
        <w:t xml:space="preserve">Fonte: </w:t>
      </w:r>
      <w:r>
        <w:rPr>
          <w:rFonts w:ascii="Inter" w:eastAsia="Inter" w:hAnsi="Inter" w:cs="Inter"/>
          <w:sz w:val="18"/>
          <w:szCs w:val="18"/>
          <w:lang w:val="it-IT"/>
        </w:rPr>
        <w:t xml:space="preserve">International </w:t>
      </w:r>
      <w:proofErr w:type="spellStart"/>
      <w:r>
        <w:rPr>
          <w:rFonts w:ascii="Inter" w:eastAsia="Inter" w:hAnsi="Inter" w:cs="Inter"/>
          <w:sz w:val="18"/>
          <w:szCs w:val="18"/>
          <w:lang w:val="it-IT"/>
        </w:rPr>
        <w:t>Rent</w:t>
      </w:r>
      <w:proofErr w:type="spellEnd"/>
      <w:r>
        <w:rPr>
          <w:rFonts w:ascii="Inter" w:eastAsia="Inter" w:hAnsi="Inter" w:cs="Inter"/>
          <w:sz w:val="18"/>
          <w:szCs w:val="18"/>
          <w:lang w:val="it-IT"/>
        </w:rPr>
        <w:t xml:space="preserve"> Index</w:t>
      </w:r>
      <w:r w:rsidRPr="0009391A">
        <w:rPr>
          <w:rFonts w:ascii="Inter" w:eastAsia="Inter" w:hAnsi="Inter" w:cs="Inter"/>
          <w:sz w:val="18"/>
          <w:szCs w:val="18"/>
          <w:lang w:val="it-IT"/>
        </w:rPr>
        <w:t xml:space="preserve"> di </w:t>
      </w:r>
      <w:proofErr w:type="spellStart"/>
      <w:r w:rsidRPr="0009391A">
        <w:rPr>
          <w:rFonts w:ascii="Inter" w:eastAsia="Inter" w:hAnsi="Inter" w:cs="Inter"/>
          <w:sz w:val="18"/>
          <w:szCs w:val="18"/>
          <w:lang w:val="it-IT"/>
        </w:rPr>
        <w:t>HousingAnywhere</w:t>
      </w:r>
      <w:proofErr w:type="spellEnd"/>
      <w:r w:rsidRPr="0009391A">
        <w:rPr>
          <w:rFonts w:ascii="Inter" w:eastAsia="Inter" w:hAnsi="Inter" w:cs="Inter"/>
          <w:sz w:val="18"/>
          <w:szCs w:val="18"/>
          <w:lang w:val="it-IT"/>
        </w:rPr>
        <w:t xml:space="preserve"> per città. </w:t>
      </w:r>
      <w:r w:rsidRPr="0009391A">
        <w:rPr>
          <w:rFonts w:ascii="Inter" w:eastAsia="Inter" w:hAnsi="Inter" w:cs="Inter"/>
          <w:i/>
          <w:sz w:val="18"/>
          <w:szCs w:val="18"/>
          <w:lang w:val="it-IT"/>
        </w:rPr>
        <w:t xml:space="preserve">Le città analizzate e la metodologia </w:t>
      </w:r>
      <w:r>
        <w:rPr>
          <w:rFonts w:ascii="Inter" w:eastAsia="Inter" w:hAnsi="Inter" w:cs="Inter"/>
          <w:i/>
          <w:sz w:val="18"/>
          <w:szCs w:val="18"/>
          <w:lang w:val="it-IT"/>
        </w:rPr>
        <w:t>dei report</w:t>
      </w:r>
      <w:r w:rsidRPr="0009391A">
        <w:rPr>
          <w:rFonts w:ascii="Inter" w:eastAsia="Inter" w:hAnsi="Inter" w:cs="Inter"/>
          <w:i/>
          <w:sz w:val="18"/>
          <w:szCs w:val="18"/>
          <w:lang w:val="it-IT"/>
        </w:rPr>
        <w:t xml:space="preserve"> possono variare da un trimestre all'altro</w:t>
      </w:r>
      <w:r>
        <w:rPr>
          <w:rFonts w:ascii="Inter" w:eastAsia="Inter" w:hAnsi="Inter" w:cs="Inter"/>
          <w:i/>
          <w:sz w:val="18"/>
          <w:szCs w:val="18"/>
          <w:lang w:val="it-IT"/>
        </w:rPr>
        <w:t>. T</w:t>
      </w:r>
      <w:r w:rsidRPr="0009391A">
        <w:rPr>
          <w:rFonts w:ascii="Inter" w:eastAsia="Inter" w:hAnsi="Inter" w:cs="Inter"/>
          <w:i/>
          <w:sz w:val="18"/>
          <w:szCs w:val="18"/>
          <w:lang w:val="it-IT"/>
        </w:rPr>
        <w:t xml:space="preserve">utti i trimestri considerano da 24 a 28 città europee popolari </w:t>
      </w:r>
      <w:proofErr w:type="gramStart"/>
      <w:r w:rsidRPr="0009391A">
        <w:rPr>
          <w:rFonts w:ascii="Inter" w:eastAsia="Inter" w:hAnsi="Inter" w:cs="Inter"/>
          <w:i/>
          <w:sz w:val="18"/>
          <w:szCs w:val="18"/>
          <w:lang w:val="it-IT"/>
        </w:rPr>
        <w:t xml:space="preserve">tra </w:t>
      </w:r>
      <w:r>
        <w:rPr>
          <w:rFonts w:ascii="Inter" w:eastAsia="Inter" w:hAnsi="Inter" w:cs="Inter"/>
          <w:i/>
          <w:sz w:val="18"/>
          <w:szCs w:val="18"/>
          <w:lang w:val="it-IT"/>
        </w:rPr>
        <w:t>per</w:t>
      </w:r>
      <w:proofErr w:type="gramEnd"/>
      <w:r>
        <w:rPr>
          <w:rFonts w:ascii="Inter" w:eastAsia="Inter" w:hAnsi="Inter" w:cs="Inter"/>
          <w:i/>
          <w:sz w:val="18"/>
          <w:szCs w:val="18"/>
          <w:lang w:val="it-IT"/>
        </w:rPr>
        <w:t xml:space="preserve"> i giovani</w:t>
      </w:r>
      <w:r w:rsidRPr="0009391A">
        <w:rPr>
          <w:rFonts w:ascii="Inter" w:eastAsia="Inter" w:hAnsi="Inter" w:cs="Inter"/>
          <w:i/>
          <w:sz w:val="18"/>
          <w:szCs w:val="18"/>
          <w:lang w:val="it-IT"/>
        </w:rPr>
        <w:t xml:space="preserve"> che si trasferiscono </w:t>
      </w:r>
      <w:r>
        <w:rPr>
          <w:rFonts w:ascii="Inter" w:eastAsia="Inter" w:hAnsi="Inter" w:cs="Inter"/>
          <w:i/>
          <w:sz w:val="18"/>
          <w:szCs w:val="18"/>
          <w:lang w:val="it-IT"/>
        </w:rPr>
        <w:t xml:space="preserve">all’estero </w:t>
      </w:r>
      <w:r w:rsidRPr="0009391A">
        <w:rPr>
          <w:rFonts w:ascii="Inter" w:eastAsia="Inter" w:hAnsi="Inter" w:cs="Inter"/>
          <w:i/>
          <w:sz w:val="18"/>
          <w:szCs w:val="18"/>
          <w:lang w:val="it-IT"/>
        </w:rPr>
        <w:t xml:space="preserve">per motivi di studio o di lavoro. </w:t>
      </w:r>
    </w:p>
    <w:p w14:paraId="6C9080CA" w14:textId="77777777" w:rsidR="0051759B" w:rsidRPr="0009391A" w:rsidRDefault="0051759B" w:rsidP="0051759B">
      <w:pPr>
        <w:spacing w:before="240" w:after="240"/>
        <w:jc w:val="both"/>
        <w:rPr>
          <w:rFonts w:ascii="Inter" w:eastAsia="Inter" w:hAnsi="Inter" w:cs="Inter"/>
          <w:b/>
          <w:sz w:val="24"/>
          <w:szCs w:val="24"/>
          <w:lang w:val="it-IT"/>
        </w:rPr>
      </w:pPr>
      <w:r w:rsidRPr="0009391A">
        <w:rPr>
          <w:rFonts w:ascii="Inter" w:eastAsia="Inter" w:hAnsi="Inter" w:cs="Inter"/>
          <w:b/>
          <w:sz w:val="24"/>
          <w:szCs w:val="24"/>
          <w:lang w:val="it-IT"/>
        </w:rPr>
        <w:t>Aumenti dei prezzi di affitto per categoria</w:t>
      </w:r>
    </w:p>
    <w:p w14:paraId="7EA9AE34" w14:textId="77777777" w:rsidR="0051759B" w:rsidRPr="0009391A" w:rsidRDefault="0051759B" w:rsidP="0051759B">
      <w:pPr>
        <w:spacing w:before="240" w:after="240"/>
        <w:jc w:val="both"/>
        <w:rPr>
          <w:rFonts w:ascii="Inter" w:eastAsia="Inter" w:hAnsi="Inter" w:cs="Inter"/>
          <w:b/>
          <w:lang w:val="it-IT"/>
        </w:rPr>
      </w:pPr>
      <w:r w:rsidRPr="0009391A">
        <w:rPr>
          <w:rFonts w:ascii="Inter" w:eastAsia="Inter" w:hAnsi="Inter" w:cs="Inter"/>
          <w:b/>
          <w:lang w:val="it-IT"/>
        </w:rPr>
        <w:t>Appartamenti: in aumento del 3,6% annuo</w:t>
      </w:r>
    </w:p>
    <w:p w14:paraId="4E8D0597" w14:textId="77777777" w:rsidR="0051759B" w:rsidRPr="0009391A" w:rsidRDefault="0051759B" w:rsidP="0051759B">
      <w:pPr>
        <w:spacing w:before="240" w:after="240"/>
        <w:jc w:val="both"/>
        <w:rPr>
          <w:rFonts w:ascii="Inter" w:eastAsia="Inter" w:hAnsi="Inter" w:cs="Inter"/>
          <w:lang w:val="it-IT"/>
        </w:rPr>
      </w:pPr>
      <w:r w:rsidRPr="0009391A">
        <w:rPr>
          <w:rFonts w:ascii="Inter" w:eastAsia="Inter" w:hAnsi="Inter" w:cs="Inter"/>
          <w:lang w:val="it-IT"/>
        </w:rPr>
        <w:t xml:space="preserve">I prezzi degli appartamenti sono aumentati del 3,6% su base annua. I prezzi per gli appartamenti ammobiliati da una a tre camere da letto vanno da </w:t>
      </w:r>
      <w:r w:rsidRPr="0009391A">
        <w:rPr>
          <w:rFonts w:ascii="Inter" w:eastAsia="Inter" w:hAnsi="Inter" w:cs="Inter"/>
          <w:b/>
          <w:lang w:val="it-IT"/>
        </w:rPr>
        <w:t>2.164 euro ad Amsterdam</w:t>
      </w:r>
      <w:r w:rsidRPr="0009391A">
        <w:rPr>
          <w:rFonts w:ascii="Inter" w:eastAsia="Inter" w:hAnsi="Inter" w:cs="Inter"/>
          <w:lang w:val="it-IT"/>
        </w:rPr>
        <w:t xml:space="preserve"> e </w:t>
      </w:r>
      <w:r w:rsidRPr="0009391A">
        <w:rPr>
          <w:rFonts w:ascii="Inter" w:eastAsia="Inter" w:hAnsi="Inter" w:cs="Inter"/>
          <w:b/>
          <w:bCs/>
          <w:lang w:val="it-IT"/>
        </w:rPr>
        <w:t>2.000 euro a Roma</w:t>
      </w:r>
      <w:r w:rsidRPr="0009391A">
        <w:rPr>
          <w:rFonts w:ascii="Inter" w:eastAsia="Inter" w:hAnsi="Inter" w:cs="Inter"/>
          <w:lang w:val="it-IT"/>
        </w:rPr>
        <w:t xml:space="preserve"> a 900 e </w:t>
      </w:r>
      <w:r w:rsidRPr="0009391A">
        <w:rPr>
          <w:rFonts w:ascii="Inter" w:eastAsia="Inter" w:hAnsi="Inter" w:cs="Inter"/>
          <w:b/>
          <w:lang w:val="it-IT"/>
        </w:rPr>
        <w:t xml:space="preserve">877 euro </w:t>
      </w:r>
      <w:r w:rsidRPr="0009391A">
        <w:rPr>
          <w:rFonts w:ascii="Inter" w:eastAsia="Inter" w:hAnsi="Inter" w:cs="Inter"/>
          <w:lang w:val="it-IT"/>
        </w:rPr>
        <w:t xml:space="preserve">ad Atene e </w:t>
      </w:r>
      <w:r w:rsidRPr="0009391A">
        <w:rPr>
          <w:rFonts w:ascii="Inter" w:eastAsia="Inter" w:hAnsi="Inter" w:cs="Inter"/>
          <w:b/>
          <w:lang w:val="it-IT"/>
        </w:rPr>
        <w:t>Budapest</w:t>
      </w:r>
      <w:r w:rsidRPr="0009391A">
        <w:rPr>
          <w:rFonts w:ascii="Inter" w:eastAsia="Inter" w:hAnsi="Inter" w:cs="Inter"/>
          <w:lang w:val="it-IT"/>
        </w:rPr>
        <w:t>.</w:t>
      </w:r>
    </w:p>
    <w:p w14:paraId="131C3FB6" w14:textId="77777777" w:rsidR="0051759B" w:rsidRPr="0009391A" w:rsidRDefault="0051759B" w:rsidP="0051759B">
      <w:pPr>
        <w:spacing w:before="240" w:after="240"/>
        <w:jc w:val="both"/>
        <w:rPr>
          <w:rFonts w:ascii="Inter" w:eastAsia="Inter" w:hAnsi="Inter" w:cs="Inter"/>
          <w:lang w:val="it-IT"/>
        </w:rPr>
      </w:pPr>
      <w:r w:rsidRPr="0009391A">
        <w:rPr>
          <w:rFonts w:ascii="Inter" w:eastAsia="Inter" w:hAnsi="Inter" w:cs="Inter"/>
          <w:lang w:val="it-IT"/>
        </w:rPr>
        <w:t xml:space="preserve">Le </w:t>
      </w:r>
      <w:r w:rsidRPr="0009391A">
        <w:rPr>
          <w:rFonts w:ascii="Inter" w:eastAsia="Inter" w:hAnsi="Inter" w:cs="Inter"/>
          <w:b/>
          <w:lang w:val="it-IT"/>
        </w:rPr>
        <w:t>città tedesche</w:t>
      </w:r>
      <w:r w:rsidRPr="0009391A">
        <w:rPr>
          <w:rFonts w:ascii="Inter" w:eastAsia="Inter" w:hAnsi="Inter" w:cs="Inter"/>
          <w:lang w:val="it-IT"/>
        </w:rPr>
        <w:t xml:space="preserve"> di Stoccarda e Francoforte hanno registrato gli aumenti più marcati tra le città analizzate (rispettivamente 26,4%</w:t>
      </w:r>
      <w:r>
        <w:rPr>
          <w:rFonts w:ascii="Inter" w:eastAsia="Inter" w:hAnsi="Inter" w:cs="Inter"/>
          <w:lang w:val="it-IT"/>
        </w:rPr>
        <w:t>, fino a 1</w:t>
      </w:r>
      <w:r w:rsidRPr="00BF3118">
        <w:rPr>
          <w:rFonts w:ascii="Inter" w:eastAsia="Inter" w:hAnsi="Inter" w:cs="Inter"/>
          <w:lang w:val="it-IT"/>
        </w:rPr>
        <w:t>.890</w:t>
      </w:r>
      <w:r>
        <w:rPr>
          <w:rFonts w:ascii="Inter" w:eastAsia="Inter" w:hAnsi="Inter" w:cs="Inter"/>
          <w:lang w:val="it-IT"/>
        </w:rPr>
        <w:t xml:space="preserve"> euro,</w:t>
      </w:r>
      <w:r w:rsidRPr="0009391A">
        <w:rPr>
          <w:rFonts w:ascii="Inter" w:eastAsia="Inter" w:hAnsi="Inter" w:cs="Inter"/>
          <w:lang w:val="it-IT"/>
        </w:rPr>
        <w:t xml:space="preserve"> e 22,3%</w:t>
      </w:r>
      <w:r>
        <w:rPr>
          <w:rFonts w:ascii="Inter" w:eastAsia="Inter" w:hAnsi="Inter" w:cs="Inter"/>
          <w:lang w:val="it-IT"/>
        </w:rPr>
        <w:t>, fino a 1.700 euro</w:t>
      </w:r>
      <w:r w:rsidRPr="0009391A">
        <w:rPr>
          <w:rFonts w:ascii="Inter" w:eastAsia="Inter" w:hAnsi="Inter" w:cs="Inter"/>
          <w:lang w:val="it-IT"/>
        </w:rPr>
        <w:t xml:space="preserve">), mentre altre città tedesche hanno registrato cali dei prezzi che mostrano disparità in tutto il paese. Nei </w:t>
      </w:r>
      <w:r w:rsidRPr="0009391A">
        <w:rPr>
          <w:rFonts w:ascii="Inter" w:eastAsia="Inter" w:hAnsi="Inter" w:cs="Inter"/>
          <w:b/>
          <w:lang w:val="it-IT"/>
        </w:rPr>
        <w:t>Paesi Bassi</w:t>
      </w:r>
      <w:r w:rsidRPr="0009391A">
        <w:rPr>
          <w:rFonts w:ascii="Inter" w:eastAsia="Inter" w:hAnsi="Inter" w:cs="Inter"/>
          <w:lang w:val="it-IT"/>
        </w:rPr>
        <w:t>, Rotterdam ha registrato uno degli aumenti più elevati d'Europa (22,3%</w:t>
      </w:r>
      <w:r>
        <w:rPr>
          <w:rFonts w:ascii="Inter" w:eastAsia="Inter" w:hAnsi="Inter" w:cs="Inter"/>
          <w:lang w:val="it-IT"/>
        </w:rPr>
        <w:t>, 1.950 euro</w:t>
      </w:r>
      <w:r w:rsidRPr="0009391A">
        <w:rPr>
          <w:rFonts w:ascii="Inter" w:eastAsia="Inter" w:hAnsi="Inter" w:cs="Inter"/>
          <w:lang w:val="it-IT"/>
        </w:rPr>
        <w:t>), mentre i prezzi sono diminuiti in minima parte ad Amsterdam (-1,6%</w:t>
      </w:r>
      <w:r>
        <w:rPr>
          <w:rFonts w:ascii="Inter" w:eastAsia="Inter" w:hAnsi="Inter" w:cs="Inter"/>
          <w:lang w:val="it-IT"/>
        </w:rPr>
        <w:t>, 2.164 euro</w:t>
      </w:r>
      <w:r w:rsidRPr="0009391A">
        <w:rPr>
          <w:rFonts w:ascii="Inter" w:eastAsia="Inter" w:hAnsi="Inter" w:cs="Inter"/>
          <w:lang w:val="it-IT"/>
        </w:rPr>
        <w:t xml:space="preserve">). </w:t>
      </w:r>
    </w:p>
    <w:p w14:paraId="3DC4D207" w14:textId="77777777" w:rsidR="0051759B" w:rsidRPr="0009391A" w:rsidRDefault="0051759B" w:rsidP="0051759B">
      <w:pPr>
        <w:spacing w:before="240" w:after="240"/>
        <w:jc w:val="both"/>
        <w:rPr>
          <w:rFonts w:ascii="Inter" w:eastAsia="Inter" w:hAnsi="Inter" w:cs="Inter"/>
          <w:lang w:val="it-IT"/>
        </w:rPr>
      </w:pPr>
      <w:r w:rsidRPr="0009391A">
        <w:rPr>
          <w:rFonts w:ascii="Inter" w:eastAsia="Inter" w:hAnsi="Inter" w:cs="Inter"/>
          <w:lang w:val="it-IT"/>
        </w:rPr>
        <w:t>Ad eccezione di Bologna (-3,3%</w:t>
      </w:r>
      <w:r>
        <w:rPr>
          <w:rFonts w:ascii="Inter" w:eastAsia="Inter" w:hAnsi="Inter" w:cs="Inter"/>
          <w:lang w:val="it-IT"/>
        </w:rPr>
        <w:t>, che scende a 1.250 euro</w:t>
      </w:r>
      <w:r w:rsidRPr="0009391A">
        <w:rPr>
          <w:rFonts w:ascii="Inter" w:eastAsia="Inter" w:hAnsi="Inter" w:cs="Inter"/>
          <w:lang w:val="it-IT"/>
        </w:rPr>
        <w:t>)</w:t>
      </w:r>
      <w:r>
        <w:rPr>
          <w:rFonts w:ascii="Inter" w:eastAsia="Inter" w:hAnsi="Inter" w:cs="Inter"/>
          <w:lang w:val="it-IT"/>
        </w:rPr>
        <w:t xml:space="preserve"> e Milano (-2,1%, 1.800 euro)</w:t>
      </w:r>
      <w:r w:rsidRPr="0009391A">
        <w:rPr>
          <w:rFonts w:ascii="Inter" w:eastAsia="Inter" w:hAnsi="Inter" w:cs="Inter"/>
          <w:lang w:val="it-IT"/>
        </w:rPr>
        <w:t xml:space="preserve">, i prezzi degli appartamenti sono aumentati anche nelle </w:t>
      </w:r>
      <w:r w:rsidRPr="0009391A">
        <w:rPr>
          <w:rFonts w:ascii="Inter" w:eastAsia="Inter" w:hAnsi="Inter" w:cs="Inter"/>
          <w:b/>
          <w:lang w:val="it-IT"/>
        </w:rPr>
        <w:t>città italiane</w:t>
      </w:r>
      <w:r w:rsidRPr="0009391A">
        <w:rPr>
          <w:rFonts w:ascii="Inter" w:eastAsia="Inter" w:hAnsi="Inter" w:cs="Inter"/>
          <w:lang w:val="it-IT"/>
        </w:rPr>
        <w:t xml:space="preserve">, in particolare a </w:t>
      </w:r>
      <w:r w:rsidRPr="00D00A7A">
        <w:rPr>
          <w:rFonts w:ascii="Inter" w:eastAsia="Inter" w:hAnsi="Inter" w:cs="Inter"/>
          <w:b/>
          <w:bCs/>
          <w:lang w:val="it-IT"/>
        </w:rPr>
        <w:t>Torino</w:t>
      </w:r>
      <w:r w:rsidRPr="0009391A">
        <w:rPr>
          <w:rFonts w:ascii="Inter" w:eastAsia="Inter" w:hAnsi="Inter" w:cs="Inter"/>
          <w:lang w:val="it-IT"/>
        </w:rPr>
        <w:t xml:space="preserve"> (15,8%</w:t>
      </w:r>
      <w:r>
        <w:rPr>
          <w:rFonts w:ascii="Inter" w:eastAsia="Inter" w:hAnsi="Inter" w:cs="Inter"/>
          <w:lang w:val="it-IT"/>
        </w:rPr>
        <w:t>) dove servono ora fino a 1.100 euro, comparati ai 950 dello stesso periodo lo scorso anno</w:t>
      </w:r>
      <w:r w:rsidRPr="0009391A">
        <w:rPr>
          <w:rFonts w:ascii="Inter" w:eastAsia="Inter" w:hAnsi="Inter" w:cs="Inter"/>
          <w:lang w:val="it-IT"/>
        </w:rPr>
        <w:t xml:space="preserve">. In </w:t>
      </w:r>
      <w:r w:rsidRPr="0009391A">
        <w:rPr>
          <w:rFonts w:ascii="Inter" w:eastAsia="Inter" w:hAnsi="Inter" w:cs="Inter"/>
          <w:b/>
          <w:lang w:val="it-IT"/>
        </w:rPr>
        <w:t>Portogallo</w:t>
      </w:r>
      <w:r w:rsidRPr="0009391A">
        <w:rPr>
          <w:rFonts w:ascii="Inter" w:eastAsia="Inter" w:hAnsi="Inter" w:cs="Inter"/>
          <w:lang w:val="it-IT"/>
        </w:rPr>
        <w:t>, i prezzi sono diminuiti sia a Porto (-4,3%</w:t>
      </w:r>
      <w:r>
        <w:rPr>
          <w:rFonts w:ascii="Inter" w:eastAsia="Inter" w:hAnsi="Inter" w:cs="Inter"/>
          <w:lang w:val="it-IT"/>
        </w:rPr>
        <w:t>, 1.350 euro</w:t>
      </w:r>
      <w:r w:rsidRPr="0009391A">
        <w:rPr>
          <w:rFonts w:ascii="Inter" w:eastAsia="Inter" w:hAnsi="Inter" w:cs="Inter"/>
          <w:lang w:val="it-IT"/>
        </w:rPr>
        <w:t>) che a Lisbona (-2,9%</w:t>
      </w:r>
      <w:r>
        <w:rPr>
          <w:rFonts w:ascii="Inter" w:eastAsia="Inter" w:hAnsi="Inter" w:cs="Inter"/>
          <w:lang w:val="it-IT"/>
        </w:rPr>
        <w:t>, 1.650 euro</w:t>
      </w:r>
      <w:r w:rsidRPr="0009391A">
        <w:rPr>
          <w:rFonts w:ascii="Inter" w:eastAsia="Inter" w:hAnsi="Inter" w:cs="Inter"/>
          <w:lang w:val="it-IT"/>
        </w:rPr>
        <w:t xml:space="preserve">). In </w:t>
      </w:r>
      <w:r w:rsidRPr="0009391A">
        <w:rPr>
          <w:rFonts w:ascii="Inter" w:eastAsia="Inter" w:hAnsi="Inter" w:cs="Inter"/>
          <w:b/>
          <w:lang w:val="it-IT"/>
        </w:rPr>
        <w:t>Spagna</w:t>
      </w:r>
      <w:r w:rsidRPr="0009391A">
        <w:rPr>
          <w:rFonts w:ascii="Inter" w:eastAsia="Inter" w:hAnsi="Inter" w:cs="Inter"/>
          <w:lang w:val="it-IT"/>
        </w:rPr>
        <w:t>, i prezzi sono aumentati a Valencia (12,7%</w:t>
      </w:r>
      <w:r>
        <w:rPr>
          <w:rFonts w:ascii="Inter" w:eastAsia="Inter" w:hAnsi="Inter" w:cs="Inter"/>
          <w:lang w:val="it-IT"/>
        </w:rPr>
        <w:t>, 1.350 euro</w:t>
      </w:r>
      <w:r w:rsidRPr="0009391A">
        <w:rPr>
          <w:rFonts w:ascii="Inter" w:eastAsia="Inter" w:hAnsi="Inter" w:cs="Inter"/>
          <w:lang w:val="it-IT"/>
        </w:rPr>
        <w:t>) e Madrid (7,7%</w:t>
      </w:r>
      <w:r>
        <w:rPr>
          <w:rFonts w:ascii="Inter" w:eastAsia="Inter" w:hAnsi="Inter" w:cs="Inter"/>
          <w:lang w:val="it-IT"/>
        </w:rPr>
        <w:t>, 1.616 euro</w:t>
      </w:r>
      <w:r w:rsidRPr="0009391A">
        <w:rPr>
          <w:rFonts w:ascii="Inter" w:eastAsia="Inter" w:hAnsi="Inter" w:cs="Inter"/>
          <w:lang w:val="it-IT"/>
        </w:rPr>
        <w:t>), ma sono rimasti stabili a Barcellona (0,0%</w:t>
      </w:r>
      <w:r>
        <w:rPr>
          <w:rFonts w:ascii="Inter" w:eastAsia="Inter" w:hAnsi="Inter" w:cs="Inter"/>
          <w:lang w:val="it-IT"/>
        </w:rPr>
        <w:t>, 1.550 euro</w:t>
      </w:r>
      <w:r w:rsidRPr="0009391A">
        <w:rPr>
          <w:rFonts w:ascii="Inter" w:eastAsia="Inter" w:hAnsi="Inter" w:cs="Inter"/>
          <w:lang w:val="it-IT"/>
        </w:rPr>
        <w:t xml:space="preserve">). </w:t>
      </w:r>
    </w:p>
    <w:p w14:paraId="42BA3720" w14:textId="77777777" w:rsidR="0051759B" w:rsidRPr="0009391A" w:rsidRDefault="0051759B" w:rsidP="0051759B">
      <w:pPr>
        <w:spacing w:before="240" w:after="240"/>
        <w:jc w:val="both"/>
        <w:rPr>
          <w:rFonts w:ascii="Inter" w:eastAsia="Inter" w:hAnsi="Inter" w:cs="Inter"/>
          <w:b/>
          <w:lang w:val="it-IT"/>
        </w:rPr>
      </w:pPr>
      <w:r>
        <w:rPr>
          <w:rFonts w:ascii="Inter" w:eastAsia="Inter" w:hAnsi="Inter" w:cs="Inter"/>
          <w:b/>
          <w:lang w:val="it-IT"/>
        </w:rPr>
        <w:t>Stanze</w:t>
      </w:r>
      <w:r w:rsidRPr="0009391A">
        <w:rPr>
          <w:rFonts w:ascii="Inter" w:eastAsia="Inter" w:hAnsi="Inter" w:cs="Inter"/>
          <w:b/>
          <w:lang w:val="it-IT"/>
        </w:rPr>
        <w:t>: in aumento del 2,6%</w:t>
      </w:r>
    </w:p>
    <w:p w14:paraId="7CE1A5A1" w14:textId="77777777" w:rsidR="0051759B" w:rsidRPr="0009391A" w:rsidRDefault="0051759B" w:rsidP="0051759B">
      <w:pPr>
        <w:spacing w:before="240" w:after="240"/>
        <w:jc w:val="both"/>
        <w:rPr>
          <w:rFonts w:ascii="Inter" w:eastAsia="Inter" w:hAnsi="Inter" w:cs="Inter"/>
          <w:lang w:val="it-IT"/>
        </w:rPr>
      </w:pPr>
      <w:r w:rsidRPr="0009391A">
        <w:rPr>
          <w:rFonts w:ascii="Inter" w:eastAsia="Inter" w:hAnsi="Inter" w:cs="Inter"/>
          <w:lang w:val="it-IT"/>
        </w:rPr>
        <w:t xml:space="preserve">I prezzi delle camere sono aumentati del 2,6% rispetto allo scorso anno. Le città tedesche e olandesi sono tra le più costose, con affitti medi che raggiungono i </w:t>
      </w:r>
      <w:r w:rsidRPr="0009391A">
        <w:rPr>
          <w:rFonts w:ascii="Inter" w:eastAsia="Inter" w:hAnsi="Inter" w:cs="Inter"/>
          <w:b/>
          <w:lang w:val="it-IT"/>
        </w:rPr>
        <w:t>1.000 euro ad Amsterdam</w:t>
      </w:r>
      <w:r w:rsidRPr="0009391A">
        <w:rPr>
          <w:rFonts w:ascii="Inter" w:eastAsia="Inter" w:hAnsi="Inter" w:cs="Inter"/>
          <w:lang w:val="it-IT"/>
        </w:rPr>
        <w:t xml:space="preserve"> e gli 890 euro ad Amburgo. Al contrario, gli affitti delle stanze sono in media di 400 euro ad Atene e </w:t>
      </w:r>
      <w:r w:rsidRPr="0009391A">
        <w:rPr>
          <w:rFonts w:ascii="Inter" w:eastAsia="Inter" w:hAnsi="Inter" w:cs="Inter"/>
          <w:b/>
          <w:lang w:val="it-IT"/>
        </w:rPr>
        <w:t>di 350 euro a Budapest</w:t>
      </w:r>
      <w:r w:rsidRPr="0009391A">
        <w:rPr>
          <w:rFonts w:ascii="Inter" w:eastAsia="Inter" w:hAnsi="Inter" w:cs="Inter"/>
          <w:lang w:val="it-IT"/>
        </w:rPr>
        <w:t>.</w:t>
      </w:r>
    </w:p>
    <w:p w14:paraId="779C1DFA" w14:textId="77777777" w:rsidR="0051759B" w:rsidRPr="0009391A" w:rsidRDefault="0051759B" w:rsidP="0051759B">
      <w:pPr>
        <w:spacing w:before="240" w:after="240"/>
        <w:jc w:val="both"/>
        <w:rPr>
          <w:rFonts w:ascii="Inter" w:eastAsia="Inter" w:hAnsi="Inter" w:cs="Inter"/>
          <w:lang w:val="it-IT"/>
        </w:rPr>
      </w:pPr>
      <w:r w:rsidRPr="0009391A">
        <w:rPr>
          <w:rFonts w:ascii="Inter" w:eastAsia="Inter" w:hAnsi="Inter" w:cs="Inter"/>
          <w:lang w:val="it-IT"/>
        </w:rPr>
        <w:t xml:space="preserve">Di fronte ai vincoli di offerta di stanze per studenti, i prezzi sono aumentati in tutte le </w:t>
      </w:r>
      <w:r w:rsidRPr="0009391A">
        <w:rPr>
          <w:rFonts w:ascii="Inter" w:eastAsia="Inter" w:hAnsi="Inter" w:cs="Inter"/>
          <w:b/>
          <w:lang w:val="it-IT"/>
        </w:rPr>
        <w:t>città olandesi</w:t>
      </w:r>
      <w:r w:rsidRPr="0009391A">
        <w:rPr>
          <w:rFonts w:ascii="Inter" w:eastAsia="Inter" w:hAnsi="Inter" w:cs="Inter"/>
          <w:lang w:val="it-IT"/>
        </w:rPr>
        <w:t xml:space="preserve"> analizzate, con Rotterdam al 6,1%</w:t>
      </w:r>
      <w:r>
        <w:rPr>
          <w:rFonts w:ascii="Inter" w:eastAsia="Inter" w:hAnsi="Inter" w:cs="Inter"/>
          <w:lang w:val="it-IT"/>
        </w:rPr>
        <w:t xml:space="preserve"> fino a 825 euro</w:t>
      </w:r>
      <w:r w:rsidRPr="0009391A">
        <w:rPr>
          <w:rFonts w:ascii="Inter" w:eastAsia="Inter" w:hAnsi="Inter" w:cs="Inter"/>
          <w:lang w:val="it-IT"/>
        </w:rPr>
        <w:t xml:space="preserve">. In </w:t>
      </w:r>
      <w:r w:rsidRPr="0009391A">
        <w:rPr>
          <w:rFonts w:ascii="Inter" w:eastAsia="Inter" w:hAnsi="Inter" w:cs="Inter"/>
          <w:b/>
          <w:lang w:val="it-IT"/>
        </w:rPr>
        <w:t xml:space="preserve">Germania </w:t>
      </w:r>
      <w:r w:rsidRPr="0009391A">
        <w:rPr>
          <w:rFonts w:ascii="Inter" w:eastAsia="Inter" w:hAnsi="Inter" w:cs="Inter"/>
          <w:lang w:val="it-IT"/>
        </w:rPr>
        <w:t xml:space="preserve">si è </w:t>
      </w:r>
      <w:r w:rsidRPr="0009391A">
        <w:rPr>
          <w:rFonts w:ascii="Inter" w:eastAsia="Inter" w:hAnsi="Inter" w:cs="Inter"/>
          <w:lang w:val="it-IT"/>
        </w:rPr>
        <w:lastRenderedPageBreak/>
        <w:t>registrata nuovamente una disparità, con l'aumento più elevato a Düsseldorf (5,8%</w:t>
      </w:r>
      <w:r>
        <w:rPr>
          <w:rFonts w:ascii="Inter" w:eastAsia="Inter" w:hAnsi="Inter" w:cs="Inter"/>
          <w:lang w:val="it-IT"/>
        </w:rPr>
        <w:t>, 634 euro</w:t>
      </w:r>
      <w:r w:rsidRPr="0009391A">
        <w:rPr>
          <w:rFonts w:ascii="Inter" w:eastAsia="Inter" w:hAnsi="Inter" w:cs="Inter"/>
          <w:lang w:val="it-IT"/>
        </w:rPr>
        <w:t>) e il calo più marcato a Colonia (-6,0%</w:t>
      </w:r>
      <w:r>
        <w:rPr>
          <w:rFonts w:ascii="Inter" w:eastAsia="Inter" w:hAnsi="Inter" w:cs="Inter"/>
          <w:lang w:val="it-IT"/>
        </w:rPr>
        <w:t>, 799 euro</w:t>
      </w:r>
      <w:r w:rsidRPr="0009391A">
        <w:rPr>
          <w:rFonts w:ascii="Inter" w:eastAsia="Inter" w:hAnsi="Inter" w:cs="Inter"/>
          <w:lang w:val="it-IT"/>
        </w:rPr>
        <w:t>).</w:t>
      </w:r>
    </w:p>
    <w:p w14:paraId="3B36EFD7" w14:textId="77777777" w:rsidR="0051759B" w:rsidRPr="00547552" w:rsidRDefault="0051759B" w:rsidP="0051759B">
      <w:pPr>
        <w:spacing w:before="240" w:after="240"/>
        <w:jc w:val="both"/>
        <w:rPr>
          <w:rFonts w:ascii="Inter" w:eastAsia="Inter" w:hAnsi="Inter" w:cs="Inter"/>
          <w:lang w:val="it-IT"/>
        </w:rPr>
      </w:pPr>
      <w:r w:rsidRPr="0009391A">
        <w:rPr>
          <w:rFonts w:ascii="Inter" w:eastAsia="Inter" w:hAnsi="Inter" w:cs="Inter"/>
          <w:b/>
          <w:lang w:val="it-IT"/>
        </w:rPr>
        <w:t xml:space="preserve">Il Portogallo </w:t>
      </w:r>
      <w:r w:rsidRPr="0009391A">
        <w:rPr>
          <w:rFonts w:ascii="Inter" w:eastAsia="Inter" w:hAnsi="Inter" w:cs="Inter"/>
          <w:lang w:val="it-IT"/>
        </w:rPr>
        <w:t>ha mostrato un andamento più stabile, con prezzi delle camere invariati a Porto (0%</w:t>
      </w:r>
      <w:r>
        <w:rPr>
          <w:rFonts w:ascii="Inter" w:eastAsia="Inter" w:hAnsi="Inter" w:cs="Inter"/>
          <w:lang w:val="it-IT"/>
        </w:rPr>
        <w:t>, 450 euro</w:t>
      </w:r>
      <w:r w:rsidRPr="0009391A">
        <w:rPr>
          <w:rFonts w:ascii="Inter" w:eastAsia="Inter" w:hAnsi="Inter" w:cs="Inter"/>
          <w:lang w:val="it-IT"/>
        </w:rPr>
        <w:t>) e in calo del 2,3% a Lisbona</w:t>
      </w:r>
      <w:r>
        <w:rPr>
          <w:rFonts w:ascii="Inter" w:eastAsia="Inter" w:hAnsi="Inter" w:cs="Inter"/>
          <w:lang w:val="it-IT"/>
        </w:rPr>
        <w:t>, fino a 550 euro</w:t>
      </w:r>
      <w:r w:rsidRPr="0009391A">
        <w:rPr>
          <w:rFonts w:ascii="Inter" w:eastAsia="Inter" w:hAnsi="Inter" w:cs="Inter"/>
          <w:lang w:val="it-IT"/>
        </w:rPr>
        <w:t xml:space="preserve">. In </w:t>
      </w:r>
      <w:r w:rsidRPr="0009391A">
        <w:rPr>
          <w:rFonts w:ascii="Inter" w:eastAsia="Inter" w:hAnsi="Inter" w:cs="Inter"/>
          <w:b/>
          <w:lang w:val="it-IT"/>
        </w:rPr>
        <w:t>Italia</w:t>
      </w:r>
      <w:r w:rsidRPr="0009391A">
        <w:rPr>
          <w:rFonts w:ascii="Inter" w:eastAsia="Inter" w:hAnsi="Inter" w:cs="Inter"/>
          <w:lang w:val="it-IT"/>
        </w:rPr>
        <w:t xml:space="preserve">, </w:t>
      </w:r>
      <w:r w:rsidRPr="00D00A7A">
        <w:rPr>
          <w:rFonts w:ascii="Inter" w:eastAsia="Inter" w:hAnsi="Inter" w:cs="Inter"/>
          <w:b/>
          <w:bCs/>
          <w:lang w:val="it-IT"/>
        </w:rPr>
        <w:t>Bologna</w:t>
      </w:r>
      <w:r w:rsidRPr="0009391A">
        <w:rPr>
          <w:rFonts w:ascii="Inter" w:eastAsia="Inter" w:hAnsi="Inter" w:cs="Inter"/>
          <w:lang w:val="it-IT"/>
        </w:rPr>
        <w:t xml:space="preserve"> ha </w:t>
      </w:r>
      <w:r w:rsidRPr="00547552">
        <w:rPr>
          <w:rFonts w:ascii="Inter" w:eastAsia="Inter" w:hAnsi="Inter" w:cs="Inter"/>
          <w:lang w:val="it-IT"/>
        </w:rPr>
        <w:t xml:space="preserve">registrato l'aumento più elevato nella ricerca (16,7%, dai 600 euro del quarto trimestre del 2023 ai 700 euro attuali), e gli affitti sono aumentati anche a </w:t>
      </w:r>
      <w:r w:rsidRPr="00547552">
        <w:rPr>
          <w:rFonts w:ascii="Inter" w:eastAsia="Inter" w:hAnsi="Inter" w:cs="Inter"/>
          <w:b/>
          <w:bCs/>
          <w:lang w:val="it-IT"/>
        </w:rPr>
        <w:t>Torino</w:t>
      </w:r>
      <w:r w:rsidRPr="00547552">
        <w:rPr>
          <w:rFonts w:ascii="Inter" w:eastAsia="Inter" w:hAnsi="Inter" w:cs="Inter"/>
          <w:lang w:val="it-IT"/>
        </w:rPr>
        <w:t xml:space="preserve"> (3,9%, 530 euro), </w:t>
      </w:r>
      <w:r w:rsidRPr="00547552">
        <w:rPr>
          <w:rFonts w:ascii="Inter" w:eastAsia="Inter" w:hAnsi="Inter" w:cs="Inter"/>
          <w:b/>
          <w:bCs/>
          <w:lang w:val="it-IT"/>
        </w:rPr>
        <w:t>Roma</w:t>
      </w:r>
      <w:r w:rsidRPr="00547552">
        <w:rPr>
          <w:rFonts w:ascii="Inter" w:eastAsia="Inter" w:hAnsi="Inter" w:cs="Inter"/>
          <w:lang w:val="it-IT"/>
        </w:rPr>
        <w:t xml:space="preserve"> (3,3%, 620 euro) e Firenze (1,7%, 600 euro). I prezzi delle camere sono aumentati nelle tre </w:t>
      </w:r>
      <w:r w:rsidRPr="00547552">
        <w:rPr>
          <w:rFonts w:ascii="Inter" w:eastAsia="Inter" w:hAnsi="Inter" w:cs="Inter"/>
          <w:b/>
          <w:lang w:val="it-IT"/>
        </w:rPr>
        <w:t>città spagnole</w:t>
      </w:r>
      <w:r w:rsidRPr="00547552">
        <w:rPr>
          <w:rFonts w:ascii="Inter" w:eastAsia="Inter" w:hAnsi="Inter" w:cs="Inter"/>
          <w:lang w:val="it-IT"/>
        </w:rPr>
        <w:t xml:space="preserve">, in particolare a Valencia e Madrid, rispettivamente del 9,3%, arrivando a 410 euro, e del 7,8%, 620 euro. </w:t>
      </w:r>
    </w:p>
    <w:p w14:paraId="459BD3DC" w14:textId="77777777" w:rsidR="0051759B" w:rsidRPr="00547552" w:rsidRDefault="0051759B" w:rsidP="0051759B">
      <w:pPr>
        <w:spacing w:before="240" w:after="240"/>
        <w:jc w:val="both"/>
        <w:rPr>
          <w:rFonts w:ascii="Inter" w:eastAsia="Inter" w:hAnsi="Inter" w:cs="Inter"/>
          <w:b/>
          <w:lang w:val="it-IT"/>
        </w:rPr>
      </w:pPr>
      <w:r w:rsidRPr="00547552">
        <w:rPr>
          <w:rFonts w:ascii="Inter" w:eastAsia="Inter" w:hAnsi="Inter" w:cs="Inter"/>
          <w:b/>
          <w:lang w:val="it-IT"/>
        </w:rPr>
        <w:t>Monolocali: in rialzo del 2,9%</w:t>
      </w:r>
    </w:p>
    <w:p w14:paraId="061B8713" w14:textId="77777777" w:rsidR="0051759B" w:rsidRPr="0009391A" w:rsidRDefault="0051759B" w:rsidP="0051759B">
      <w:pPr>
        <w:spacing w:before="240" w:after="240"/>
        <w:jc w:val="both"/>
        <w:rPr>
          <w:rFonts w:ascii="Inter" w:eastAsia="Inter" w:hAnsi="Inter" w:cs="Inter"/>
          <w:lang w:val="it-IT"/>
        </w:rPr>
      </w:pPr>
      <w:r w:rsidRPr="00547552">
        <w:rPr>
          <w:rFonts w:ascii="Inter" w:eastAsia="Inter" w:hAnsi="Inter" w:cs="Inter"/>
          <w:lang w:val="it-IT"/>
        </w:rPr>
        <w:t xml:space="preserve">I prezzi degli studi sono aumentati del 2,9% su base annua. Con un minor numero di città analizzate in questa categoria a causa di un inventario inferiore, i prezzi variano da </w:t>
      </w:r>
      <w:r w:rsidRPr="00547552">
        <w:rPr>
          <w:rFonts w:ascii="Inter" w:eastAsia="Inter" w:hAnsi="Inter" w:cs="Inter"/>
          <w:b/>
          <w:lang w:val="it-IT"/>
        </w:rPr>
        <w:t>1.540 € a Monaco</w:t>
      </w:r>
      <w:r w:rsidRPr="00547552">
        <w:rPr>
          <w:rFonts w:ascii="Inter" w:eastAsia="Inter" w:hAnsi="Inter" w:cs="Inter"/>
          <w:lang w:val="it-IT"/>
        </w:rPr>
        <w:t xml:space="preserve"> di Baviera a </w:t>
      </w:r>
      <w:r w:rsidRPr="00547552">
        <w:rPr>
          <w:rFonts w:ascii="Inter" w:eastAsia="Inter" w:hAnsi="Inter" w:cs="Inter"/>
          <w:b/>
          <w:lang w:val="it-IT"/>
        </w:rPr>
        <w:t xml:space="preserve">605 € a Torino </w:t>
      </w:r>
      <w:r w:rsidRPr="00547552">
        <w:rPr>
          <w:rFonts w:ascii="Inter" w:eastAsia="Inter" w:hAnsi="Inter" w:cs="Inter"/>
          <w:bCs/>
          <w:lang w:val="it-IT"/>
        </w:rPr>
        <w:t>(che perde il 19,3% rispetto ai 750 euro dello scorso anno)</w:t>
      </w:r>
      <w:r w:rsidRPr="00547552">
        <w:rPr>
          <w:rFonts w:ascii="Inter" w:eastAsia="Inter" w:hAnsi="Inter" w:cs="Inter"/>
          <w:lang w:val="it-IT"/>
        </w:rPr>
        <w:t>.</w:t>
      </w:r>
    </w:p>
    <w:p w14:paraId="6919A9CF" w14:textId="77777777" w:rsidR="0051759B" w:rsidRPr="0009391A" w:rsidRDefault="0051759B" w:rsidP="0051759B">
      <w:pPr>
        <w:spacing w:before="240" w:after="240"/>
        <w:jc w:val="both"/>
        <w:rPr>
          <w:rFonts w:ascii="Inter" w:eastAsia="Inter" w:hAnsi="Inter" w:cs="Inter"/>
          <w:lang w:val="it-IT"/>
        </w:rPr>
      </w:pPr>
      <w:r w:rsidRPr="0009391A">
        <w:rPr>
          <w:rFonts w:ascii="Inter" w:eastAsia="Inter" w:hAnsi="Inter" w:cs="Inter"/>
          <w:lang w:val="it-IT"/>
        </w:rPr>
        <w:t>Gli aumenti di prezzo più significativi sono stati osservati a Madrid (21,2%</w:t>
      </w:r>
      <w:r>
        <w:rPr>
          <w:rFonts w:ascii="Inter" w:eastAsia="Inter" w:hAnsi="Inter" w:cs="Inter"/>
          <w:lang w:val="it-IT"/>
        </w:rPr>
        <w:t>, fino a 1.200 euro</w:t>
      </w:r>
      <w:r w:rsidRPr="0009391A">
        <w:rPr>
          <w:rFonts w:ascii="Inter" w:eastAsia="Inter" w:hAnsi="Inter" w:cs="Inter"/>
          <w:lang w:val="it-IT"/>
        </w:rPr>
        <w:t>) e Barcellona (16,3%</w:t>
      </w:r>
      <w:r>
        <w:rPr>
          <w:rFonts w:ascii="Inter" w:eastAsia="Inter" w:hAnsi="Inter" w:cs="Inter"/>
          <w:lang w:val="it-IT"/>
        </w:rPr>
        <w:t>, 1.105 euro</w:t>
      </w:r>
      <w:r w:rsidRPr="0009391A">
        <w:rPr>
          <w:rFonts w:ascii="Inter" w:eastAsia="Inter" w:hAnsi="Inter" w:cs="Inter"/>
          <w:lang w:val="it-IT"/>
        </w:rPr>
        <w:t>), mentre diminuzioni sostanziali sono state registrate a Valencia (-11,1%</w:t>
      </w:r>
      <w:r>
        <w:rPr>
          <w:rFonts w:ascii="Inter" w:eastAsia="Inter" w:hAnsi="Inter" w:cs="Inter"/>
          <w:lang w:val="it-IT"/>
        </w:rPr>
        <w:t>, 800 euro</w:t>
      </w:r>
      <w:r w:rsidRPr="0009391A">
        <w:rPr>
          <w:rFonts w:ascii="Inter" w:eastAsia="Inter" w:hAnsi="Inter" w:cs="Inter"/>
          <w:lang w:val="it-IT"/>
        </w:rPr>
        <w:t>) e Berlino (-6,9%</w:t>
      </w:r>
      <w:r>
        <w:rPr>
          <w:rFonts w:ascii="Inter" w:eastAsia="Inter" w:hAnsi="Inter" w:cs="Inter"/>
          <w:lang w:val="it-IT"/>
        </w:rPr>
        <w:t>, 1.210 euro</w:t>
      </w:r>
      <w:r w:rsidRPr="0009391A">
        <w:rPr>
          <w:rFonts w:ascii="Inter" w:eastAsia="Inter" w:hAnsi="Inter" w:cs="Inter"/>
          <w:lang w:val="it-IT"/>
        </w:rPr>
        <w:t>).</w:t>
      </w:r>
    </w:p>
    <w:p w14:paraId="18945619" w14:textId="77777777" w:rsidR="0051759B" w:rsidRPr="0009391A" w:rsidRDefault="0051759B" w:rsidP="0051759B">
      <w:pPr>
        <w:spacing w:before="240" w:after="240"/>
        <w:jc w:val="center"/>
        <w:rPr>
          <w:rFonts w:ascii="Inter" w:eastAsia="Inter" w:hAnsi="Inter" w:cs="Inter"/>
          <w:lang w:val="it-IT"/>
        </w:rPr>
      </w:pPr>
      <w:r w:rsidRPr="0009391A">
        <w:rPr>
          <w:rFonts w:ascii="Inter" w:eastAsia="Inter" w:hAnsi="Inter" w:cs="Inter"/>
          <w:lang w:val="it-IT"/>
        </w:rPr>
        <w:t>***</w:t>
      </w:r>
    </w:p>
    <w:p w14:paraId="0DB7C624" w14:textId="77777777" w:rsidR="0051759B" w:rsidRPr="0009391A" w:rsidRDefault="0051759B" w:rsidP="0051759B">
      <w:pPr>
        <w:spacing w:before="240" w:after="240"/>
        <w:jc w:val="both"/>
        <w:rPr>
          <w:rFonts w:ascii="Inter" w:eastAsia="Inter" w:hAnsi="Inter" w:cs="Inter"/>
          <w:sz w:val="18"/>
          <w:szCs w:val="18"/>
          <w:lang w:val="it-IT"/>
        </w:rPr>
      </w:pPr>
      <w:r w:rsidRPr="0009391A">
        <w:rPr>
          <w:rFonts w:ascii="Inter" w:eastAsia="Inter" w:hAnsi="Inter" w:cs="Inter"/>
          <w:b/>
          <w:color w:val="FF4B27"/>
          <w:sz w:val="18"/>
          <w:szCs w:val="18"/>
          <w:lang w:val="it-IT"/>
        </w:rPr>
        <w:t>A proposito dell'</w:t>
      </w:r>
      <w:proofErr w:type="spellStart"/>
      <w:r w:rsidRPr="0009391A">
        <w:rPr>
          <w:rFonts w:ascii="Inter" w:eastAsia="Inter" w:hAnsi="Inter" w:cs="Inter"/>
          <w:b/>
          <w:color w:val="FF4B27"/>
          <w:sz w:val="18"/>
          <w:szCs w:val="18"/>
          <w:lang w:val="it-IT"/>
        </w:rPr>
        <w:t>HousingAnywhere</w:t>
      </w:r>
      <w:proofErr w:type="spellEnd"/>
      <w:r w:rsidRPr="0009391A">
        <w:rPr>
          <w:rFonts w:ascii="Inter" w:eastAsia="Inter" w:hAnsi="Inter" w:cs="Inter"/>
          <w:b/>
          <w:color w:val="FF4B27"/>
          <w:sz w:val="18"/>
          <w:szCs w:val="18"/>
          <w:lang w:val="it-IT"/>
        </w:rPr>
        <w:t xml:space="preserve"> International </w:t>
      </w:r>
      <w:proofErr w:type="spellStart"/>
      <w:r w:rsidRPr="0009391A">
        <w:rPr>
          <w:rFonts w:ascii="Inter" w:eastAsia="Inter" w:hAnsi="Inter" w:cs="Inter"/>
          <w:b/>
          <w:color w:val="FF4B27"/>
          <w:sz w:val="18"/>
          <w:szCs w:val="18"/>
          <w:lang w:val="it-IT"/>
        </w:rPr>
        <w:t>Rent</w:t>
      </w:r>
      <w:proofErr w:type="spellEnd"/>
      <w:r w:rsidRPr="0009391A">
        <w:rPr>
          <w:rFonts w:ascii="Inter" w:eastAsia="Inter" w:hAnsi="Inter" w:cs="Inter"/>
          <w:b/>
          <w:color w:val="FF4B27"/>
          <w:sz w:val="18"/>
          <w:szCs w:val="18"/>
          <w:lang w:val="it-IT"/>
        </w:rPr>
        <w:t xml:space="preserve"> Index </w:t>
      </w:r>
      <w:r w:rsidRPr="0009391A">
        <w:rPr>
          <w:rFonts w:ascii="Inter" w:eastAsia="Inter" w:hAnsi="Inter" w:cs="Inter"/>
          <w:b/>
          <w:sz w:val="18"/>
          <w:szCs w:val="18"/>
          <w:lang w:val="it-IT"/>
        </w:rPr>
        <w:br/>
      </w:r>
      <w:r w:rsidRPr="0009391A">
        <w:rPr>
          <w:rFonts w:ascii="Inter" w:eastAsia="Inter" w:hAnsi="Inter" w:cs="Inter"/>
          <w:sz w:val="18"/>
          <w:szCs w:val="18"/>
          <w:lang w:val="it-IT"/>
        </w:rPr>
        <w:t xml:space="preserve">Per questa ventiseiesima edizione trimestrale della ricerca, </w:t>
      </w:r>
      <w:proofErr w:type="spellStart"/>
      <w:r w:rsidRPr="0009391A">
        <w:rPr>
          <w:rFonts w:ascii="Inter" w:eastAsia="Inter" w:hAnsi="Inter" w:cs="Inter"/>
          <w:sz w:val="18"/>
          <w:szCs w:val="18"/>
          <w:lang w:val="it-IT"/>
        </w:rPr>
        <w:t>HousingAnywhere</w:t>
      </w:r>
      <w:proofErr w:type="spellEnd"/>
      <w:r w:rsidRPr="0009391A">
        <w:rPr>
          <w:rFonts w:ascii="Inter" w:eastAsia="Inter" w:hAnsi="Inter" w:cs="Inter"/>
          <w:sz w:val="18"/>
          <w:szCs w:val="18"/>
          <w:lang w:val="it-IT"/>
        </w:rPr>
        <w:t xml:space="preserve"> ha analizzato 78.224 proprietà </w:t>
      </w:r>
      <w:proofErr w:type="spellStart"/>
      <w:r w:rsidRPr="0009391A">
        <w:rPr>
          <w:rFonts w:ascii="Inter" w:eastAsia="Inter" w:hAnsi="Inter" w:cs="Inter"/>
          <w:sz w:val="18"/>
          <w:szCs w:val="18"/>
          <w:lang w:val="it-IT"/>
        </w:rPr>
        <w:t>proprietà</w:t>
      </w:r>
      <w:proofErr w:type="spellEnd"/>
      <w:r w:rsidRPr="0009391A">
        <w:rPr>
          <w:rFonts w:ascii="Inter" w:eastAsia="Inter" w:hAnsi="Inter" w:cs="Inter"/>
          <w:sz w:val="18"/>
          <w:szCs w:val="18"/>
          <w:lang w:val="it-IT"/>
        </w:rPr>
        <w:t xml:space="preserve"> presenti sulla piattaforma e che hanno ricevuto l'interesse di potenziali inquilini nell'ultimo anno. Il report ha analizzato camere singole, monolocali e appartamenti da una a tre camere da letto situati in 28 città europee, in 12 paesi.</w:t>
      </w:r>
    </w:p>
    <w:p w14:paraId="5E390A60" w14:textId="77777777" w:rsidR="0051759B" w:rsidRPr="0009391A" w:rsidRDefault="0051759B" w:rsidP="0051759B">
      <w:pPr>
        <w:spacing w:before="240" w:after="240"/>
        <w:jc w:val="both"/>
        <w:rPr>
          <w:rFonts w:ascii="Inter" w:eastAsia="Inter" w:hAnsi="Inter" w:cs="Inter"/>
          <w:sz w:val="18"/>
          <w:szCs w:val="18"/>
          <w:lang w:val="it-IT"/>
        </w:rPr>
      </w:pPr>
      <w:r w:rsidRPr="0009391A">
        <w:rPr>
          <w:rFonts w:ascii="Inter" w:eastAsia="Inter" w:hAnsi="Inter" w:cs="Inter"/>
          <w:sz w:val="18"/>
          <w:szCs w:val="18"/>
          <w:lang w:val="it-IT"/>
        </w:rPr>
        <w:t>Di tutti gli appartamenti analizzati, il 58% erano appartamenti con una camera da letto, il 31% erano appartamenti con due camere da letto e l'11% erano appartamenti con tre camere da letto.</w:t>
      </w:r>
    </w:p>
    <w:p w14:paraId="4D4FE0A9" w14:textId="77777777" w:rsidR="0051759B" w:rsidRPr="0009391A" w:rsidRDefault="0051759B" w:rsidP="0051759B">
      <w:pPr>
        <w:spacing w:before="240" w:after="240"/>
        <w:jc w:val="both"/>
        <w:rPr>
          <w:rFonts w:ascii="Inter" w:eastAsia="Inter" w:hAnsi="Inter" w:cs="Inter"/>
          <w:sz w:val="18"/>
          <w:szCs w:val="18"/>
          <w:lang w:val="it-IT"/>
        </w:rPr>
      </w:pPr>
      <w:r w:rsidRPr="0009391A">
        <w:rPr>
          <w:rFonts w:ascii="Inter" w:eastAsia="Inter" w:hAnsi="Inter" w:cs="Inter"/>
          <w:sz w:val="18"/>
          <w:szCs w:val="18"/>
          <w:lang w:val="it-IT"/>
        </w:rPr>
        <w:t>Circa il 99% degli immobili elencati era completamente arredato e il 60% includeva le bollette nell'affitto, con tutti gli annunci principalmente orientati al servizio di giovani professionisti e studenti che si trasferiscono oltre confine.</w:t>
      </w:r>
    </w:p>
    <w:p w14:paraId="0C6AA0CB" w14:textId="77777777" w:rsidR="0051759B" w:rsidRPr="0009391A" w:rsidRDefault="0051759B" w:rsidP="0051759B">
      <w:pPr>
        <w:spacing w:before="240" w:after="240"/>
        <w:jc w:val="both"/>
        <w:rPr>
          <w:rFonts w:ascii="Inter" w:eastAsia="Inter" w:hAnsi="Inter" w:cs="Inter"/>
          <w:sz w:val="18"/>
          <w:szCs w:val="18"/>
          <w:lang w:val="it-IT"/>
        </w:rPr>
      </w:pPr>
      <w:r w:rsidRPr="0009391A">
        <w:rPr>
          <w:rFonts w:ascii="Inter" w:eastAsia="Inter" w:hAnsi="Inter" w:cs="Inter"/>
          <w:sz w:val="18"/>
          <w:szCs w:val="18"/>
          <w:lang w:val="it-IT"/>
        </w:rPr>
        <w:t xml:space="preserve">Le proprietà disponibili su </w:t>
      </w:r>
      <w:proofErr w:type="spellStart"/>
      <w:r w:rsidRPr="0009391A">
        <w:rPr>
          <w:rFonts w:ascii="Inter" w:eastAsia="Inter" w:hAnsi="Inter" w:cs="Inter"/>
          <w:sz w:val="18"/>
          <w:szCs w:val="18"/>
          <w:lang w:val="it-IT"/>
        </w:rPr>
        <w:t>HousingAnywhere</w:t>
      </w:r>
      <w:proofErr w:type="spellEnd"/>
      <w:r w:rsidRPr="0009391A">
        <w:rPr>
          <w:rFonts w:ascii="Inter" w:eastAsia="Inter" w:hAnsi="Inter" w:cs="Inter"/>
          <w:sz w:val="18"/>
          <w:szCs w:val="18"/>
          <w:lang w:val="it-IT"/>
        </w:rPr>
        <w:t xml:space="preserve"> sono messe in evidenza principalmente da privati e agenti immobiliari che elencano direttamente in piattaforma i propri spazi disponibili. </w:t>
      </w:r>
      <w:proofErr w:type="spellStart"/>
      <w:r w:rsidRPr="0009391A">
        <w:rPr>
          <w:rFonts w:ascii="Inter" w:eastAsia="Inter" w:hAnsi="Inter" w:cs="Inter"/>
          <w:sz w:val="18"/>
          <w:szCs w:val="18"/>
          <w:lang w:val="it-IT"/>
        </w:rPr>
        <w:t>HousingAnywhere</w:t>
      </w:r>
      <w:proofErr w:type="spellEnd"/>
      <w:r w:rsidRPr="0009391A">
        <w:rPr>
          <w:rFonts w:ascii="Inter" w:eastAsia="Inter" w:hAnsi="Inter" w:cs="Inter"/>
          <w:sz w:val="18"/>
          <w:szCs w:val="18"/>
          <w:lang w:val="it-IT"/>
        </w:rPr>
        <w:t xml:space="preserve"> non include </w:t>
      </w:r>
      <w:proofErr w:type="spellStart"/>
      <w:r w:rsidRPr="0009391A">
        <w:rPr>
          <w:rFonts w:ascii="Inter" w:eastAsia="Inter" w:hAnsi="Inter" w:cs="Inter"/>
          <w:sz w:val="18"/>
          <w:szCs w:val="18"/>
          <w:lang w:val="it-IT"/>
        </w:rPr>
        <w:t>invcece</w:t>
      </w:r>
      <w:proofErr w:type="spellEnd"/>
      <w:r w:rsidRPr="0009391A">
        <w:rPr>
          <w:rFonts w:ascii="Inter" w:eastAsia="Inter" w:hAnsi="Inter" w:cs="Inter"/>
          <w:sz w:val="18"/>
          <w:szCs w:val="18"/>
          <w:lang w:val="it-IT"/>
        </w:rPr>
        <w:t xml:space="preserve"> proprietà offerte da società immobiliari o altri tipi di organizzazioni senza scopo di lucro, che generalmente hanno prezzi di affitto più bassi.</w:t>
      </w:r>
    </w:p>
    <w:p w14:paraId="71A746B6" w14:textId="77777777" w:rsidR="0051759B" w:rsidRPr="0009391A" w:rsidRDefault="0051759B" w:rsidP="0051759B">
      <w:pPr>
        <w:spacing w:before="240" w:after="240"/>
        <w:jc w:val="both"/>
        <w:rPr>
          <w:rFonts w:ascii="Inter" w:eastAsia="Inter" w:hAnsi="Inter" w:cs="Inter"/>
          <w:sz w:val="18"/>
          <w:szCs w:val="18"/>
          <w:lang w:val="it-IT"/>
        </w:rPr>
      </w:pPr>
      <w:r w:rsidRPr="0009391A">
        <w:rPr>
          <w:rFonts w:ascii="Inter" w:eastAsia="Inter" w:hAnsi="Inter" w:cs="Inter"/>
          <w:sz w:val="18"/>
          <w:szCs w:val="18"/>
          <w:lang w:val="it-IT"/>
        </w:rPr>
        <w:t xml:space="preserve">I prezzi degli affitti e i prezzi al metro quadro sono calcolati in base ai dati forniti dai fornitori di proprietà al momento dell'annuncio su </w:t>
      </w:r>
      <w:proofErr w:type="spellStart"/>
      <w:r w:rsidRPr="0009391A">
        <w:rPr>
          <w:rFonts w:ascii="Inter" w:eastAsia="Inter" w:hAnsi="Inter" w:cs="Inter"/>
          <w:sz w:val="18"/>
          <w:szCs w:val="18"/>
          <w:lang w:val="it-IT"/>
        </w:rPr>
        <w:t>HousingAnywhere</w:t>
      </w:r>
      <w:proofErr w:type="spellEnd"/>
      <w:r w:rsidRPr="0009391A">
        <w:rPr>
          <w:rFonts w:ascii="Inter" w:eastAsia="Inter" w:hAnsi="Inter" w:cs="Inter"/>
          <w:sz w:val="18"/>
          <w:szCs w:val="18"/>
          <w:lang w:val="it-IT"/>
        </w:rPr>
        <w:t>. Il prezzo assoluto dell'affitto di una città è calcolato tramite una mediana. Il prezzo al metro quadro viene calcolato dividendo il prezzo mediano assoluto di un tipo di immobile per la dimensione mediana. Nel caso delle camere, il prezzo al metro quadro è calcolato dividendo il prezzo assoluto mediano per la dimensione mediana della stanza (escluse eventuali zone giorno condivise).</w:t>
      </w:r>
    </w:p>
    <w:p w14:paraId="3950B272" w14:textId="77777777" w:rsidR="0051759B" w:rsidRPr="0009391A" w:rsidRDefault="0051759B" w:rsidP="0051759B">
      <w:pPr>
        <w:spacing w:before="240" w:after="240"/>
        <w:jc w:val="both"/>
        <w:rPr>
          <w:rFonts w:ascii="Inter" w:eastAsia="Inter" w:hAnsi="Inter" w:cs="Inter"/>
          <w:sz w:val="18"/>
          <w:szCs w:val="18"/>
          <w:lang w:val="it-IT"/>
        </w:rPr>
      </w:pPr>
      <w:r w:rsidRPr="0009391A">
        <w:rPr>
          <w:rFonts w:ascii="Inter" w:eastAsia="Inter" w:hAnsi="Inter" w:cs="Inter"/>
          <w:sz w:val="18"/>
          <w:szCs w:val="18"/>
          <w:lang w:val="it-IT"/>
        </w:rPr>
        <w:lastRenderedPageBreak/>
        <w:t>Con l'obiettivo di fornire un solido set di dati, le città con meno di 30 unità in un trimestre sono state escluse dal rapporto. Per questo motivo, alcune città (Amsterdam, Helsinki, Roma, Stoccarda, L'Aia, Utrecht) sono state escluse dalla sezione monolocali del rapporto a causa della scarsità di alloggi.</w:t>
      </w:r>
    </w:p>
    <w:p w14:paraId="67DAA2B1" w14:textId="77777777" w:rsidR="0051759B" w:rsidRPr="0009391A" w:rsidRDefault="0051759B" w:rsidP="0051759B">
      <w:pPr>
        <w:spacing w:before="240" w:after="240"/>
        <w:jc w:val="both"/>
        <w:rPr>
          <w:rFonts w:ascii="Inter" w:eastAsia="Inter" w:hAnsi="Inter" w:cs="Inter"/>
          <w:sz w:val="18"/>
          <w:szCs w:val="18"/>
          <w:lang w:val="it-IT"/>
        </w:rPr>
      </w:pPr>
      <w:r w:rsidRPr="0009391A">
        <w:rPr>
          <w:rFonts w:ascii="Inter" w:eastAsia="Inter" w:hAnsi="Inter" w:cs="Inter"/>
          <w:sz w:val="18"/>
          <w:szCs w:val="18"/>
          <w:lang w:val="it-IT"/>
        </w:rPr>
        <w:t>Queste le 28 città incluse in questa edizione del rapporto: Amsterdam, Atene, Barcellona, Berlino, Bologna, Bruxelles, Budapest, Düsseldorf, Firenze, Francoforte sul Meno, Amburgo, Helsinki, Colonia, Lisbona, Madrid, Milano, Monaco di Baviera, Parigi, Porto, Praga, Roma, Rotterdam, Stoccarda, L'Aia, Torino, Utrecht, Valencia, Vienna.</w:t>
      </w:r>
    </w:p>
    <w:p w14:paraId="49A053FD" w14:textId="77777777" w:rsidR="0051759B" w:rsidRPr="0009391A" w:rsidRDefault="0051759B" w:rsidP="0051759B">
      <w:pPr>
        <w:spacing w:before="240" w:after="240"/>
        <w:jc w:val="both"/>
        <w:rPr>
          <w:rFonts w:ascii="Inter" w:eastAsia="Inter" w:hAnsi="Inter" w:cs="Inter"/>
          <w:sz w:val="18"/>
          <w:szCs w:val="18"/>
          <w:lang w:val="it-IT"/>
        </w:rPr>
      </w:pPr>
      <w:r w:rsidRPr="0009391A">
        <w:rPr>
          <w:rFonts w:ascii="Inter" w:eastAsia="Inter" w:hAnsi="Inter" w:cs="Inter"/>
          <w:sz w:val="18"/>
          <w:szCs w:val="18"/>
          <w:lang w:val="it-IT"/>
        </w:rPr>
        <w:t>Il rapporto è disponibile anche in spagnolo, inglese e olandese.</w:t>
      </w:r>
    </w:p>
    <w:p w14:paraId="26C2FC22" w14:textId="77777777" w:rsidR="0051759B" w:rsidRPr="0009391A" w:rsidRDefault="0051759B" w:rsidP="0051759B">
      <w:pPr>
        <w:spacing w:before="240" w:after="240" w:line="254" w:lineRule="auto"/>
        <w:jc w:val="both"/>
        <w:rPr>
          <w:rFonts w:ascii="Inter" w:eastAsia="Inter" w:hAnsi="Inter" w:cs="Inter"/>
          <w:b/>
          <w:color w:val="FF4B27"/>
          <w:sz w:val="18"/>
          <w:szCs w:val="18"/>
          <w:lang w:val="it-IT"/>
        </w:rPr>
      </w:pPr>
      <w:r w:rsidRPr="0009391A">
        <w:rPr>
          <w:rFonts w:ascii="Inter" w:eastAsia="Inter" w:hAnsi="Inter" w:cs="Inter"/>
          <w:b/>
          <w:color w:val="FF4B27"/>
          <w:sz w:val="18"/>
          <w:szCs w:val="18"/>
          <w:lang w:val="it-IT"/>
        </w:rPr>
        <w:t xml:space="preserve">A proposito di </w:t>
      </w:r>
      <w:proofErr w:type="spellStart"/>
      <w:r w:rsidRPr="0009391A">
        <w:rPr>
          <w:rFonts w:ascii="Inter" w:eastAsia="Inter" w:hAnsi="Inter" w:cs="Inter"/>
          <w:b/>
          <w:color w:val="FF4B27"/>
          <w:sz w:val="18"/>
          <w:szCs w:val="18"/>
          <w:lang w:val="it-IT"/>
        </w:rPr>
        <w:t>HousingAnywhere</w:t>
      </w:r>
      <w:proofErr w:type="spellEnd"/>
    </w:p>
    <w:p w14:paraId="214F7B6C" w14:textId="77777777" w:rsidR="0051759B" w:rsidRPr="0009391A" w:rsidRDefault="00000000" w:rsidP="0051759B">
      <w:pPr>
        <w:spacing w:line="259" w:lineRule="auto"/>
        <w:jc w:val="both"/>
        <w:rPr>
          <w:rFonts w:ascii="Inter" w:eastAsia="Inter" w:hAnsi="Inter" w:cs="Inter"/>
          <w:sz w:val="18"/>
          <w:szCs w:val="18"/>
          <w:highlight w:val="white"/>
          <w:lang w:val="it-IT"/>
        </w:rPr>
      </w:pPr>
      <w:hyperlink r:id="rId9">
        <w:proofErr w:type="spellStart"/>
        <w:r w:rsidR="0051759B" w:rsidRPr="0009391A">
          <w:rPr>
            <w:rFonts w:ascii="Inter" w:eastAsia="Inter" w:hAnsi="Inter" w:cs="Inter"/>
            <w:sz w:val="18"/>
            <w:szCs w:val="18"/>
            <w:highlight w:val="white"/>
            <w:u w:val="single"/>
            <w:lang w:val="it-IT"/>
          </w:rPr>
          <w:t>HousingAnywhere</w:t>
        </w:r>
        <w:proofErr w:type="spellEnd"/>
      </w:hyperlink>
      <w:r w:rsidR="0051759B" w:rsidRPr="0009391A">
        <w:rPr>
          <w:rFonts w:ascii="Inter" w:eastAsia="Inter" w:hAnsi="Inter" w:cs="Inter"/>
          <w:sz w:val="18"/>
          <w:szCs w:val="18"/>
          <w:highlight w:val="white"/>
          <w:lang w:val="it-IT"/>
        </w:rPr>
        <w:t xml:space="preserve"> è la piattaforma di affitto a medio termine più grande in Europa. Con l’acquisizione di </w:t>
      </w:r>
      <w:proofErr w:type="spellStart"/>
      <w:r w:rsidR="0051759B" w:rsidRPr="0009391A">
        <w:rPr>
          <w:rFonts w:ascii="Inter" w:eastAsia="Inter" w:hAnsi="Inter" w:cs="Inter"/>
          <w:sz w:val="18"/>
          <w:szCs w:val="18"/>
          <w:highlight w:val="white"/>
          <w:lang w:val="it-IT"/>
        </w:rPr>
        <w:t>Kamernet</w:t>
      </w:r>
      <w:proofErr w:type="spellEnd"/>
      <w:r w:rsidR="0051759B" w:rsidRPr="0009391A">
        <w:rPr>
          <w:rFonts w:ascii="Inter" w:eastAsia="Inter" w:hAnsi="Inter" w:cs="Inter"/>
          <w:sz w:val="18"/>
          <w:szCs w:val="18"/>
          <w:highlight w:val="white"/>
          <w:lang w:val="it-IT"/>
        </w:rPr>
        <w:t xml:space="preserve"> e </w:t>
      </w:r>
      <w:proofErr w:type="spellStart"/>
      <w:r w:rsidR="0051759B" w:rsidRPr="0009391A">
        <w:rPr>
          <w:rFonts w:ascii="Inter" w:eastAsia="Inter" w:hAnsi="Inter" w:cs="Inter"/>
          <w:sz w:val="18"/>
          <w:szCs w:val="18"/>
          <w:highlight w:val="white"/>
          <w:lang w:val="it-IT"/>
        </w:rPr>
        <w:t>Studapart</w:t>
      </w:r>
      <w:proofErr w:type="spellEnd"/>
      <w:r w:rsidR="0051759B" w:rsidRPr="0009391A">
        <w:rPr>
          <w:rFonts w:ascii="Inter" w:eastAsia="Inter" w:hAnsi="Inter" w:cs="Inter"/>
          <w:sz w:val="18"/>
          <w:szCs w:val="18"/>
          <w:highlight w:val="white"/>
          <w:lang w:val="it-IT"/>
        </w:rPr>
        <w:t xml:space="preserve"> l’azienda rappresenta tre </w:t>
      </w:r>
      <w:proofErr w:type="gramStart"/>
      <w:r w:rsidR="0051759B" w:rsidRPr="0009391A">
        <w:rPr>
          <w:rFonts w:ascii="Inter" w:eastAsia="Inter" w:hAnsi="Inter" w:cs="Inter"/>
          <w:sz w:val="18"/>
          <w:szCs w:val="18"/>
          <w:highlight w:val="white"/>
          <w:lang w:val="it-IT"/>
        </w:rPr>
        <w:t>brand</w:t>
      </w:r>
      <w:proofErr w:type="gramEnd"/>
      <w:r w:rsidR="0051759B" w:rsidRPr="0009391A">
        <w:rPr>
          <w:rFonts w:ascii="Inter" w:eastAsia="Inter" w:hAnsi="Inter" w:cs="Inter"/>
          <w:sz w:val="18"/>
          <w:szCs w:val="18"/>
          <w:highlight w:val="white"/>
          <w:lang w:val="it-IT"/>
        </w:rPr>
        <w:t xml:space="preserve"> in rapida crescita con oltre 30 milioni complessivi di visitatori unici all'anno, più di 160.000 proprietà in affitto e più di 100.000 talenti che cercano casa in affitto sulla base delle performance del 2023. </w:t>
      </w:r>
      <w:proofErr w:type="spellStart"/>
      <w:r w:rsidR="0051759B" w:rsidRPr="0009391A">
        <w:rPr>
          <w:rFonts w:ascii="Inter" w:eastAsia="Inter" w:hAnsi="Inter" w:cs="Inter"/>
          <w:sz w:val="18"/>
          <w:szCs w:val="18"/>
          <w:highlight w:val="white"/>
          <w:lang w:val="it-IT"/>
        </w:rPr>
        <w:t>HousingAnywhere</w:t>
      </w:r>
      <w:proofErr w:type="spellEnd"/>
      <w:r w:rsidR="0051759B" w:rsidRPr="0009391A">
        <w:rPr>
          <w:rFonts w:ascii="Inter" w:eastAsia="Inter" w:hAnsi="Inter" w:cs="Inter"/>
          <w:sz w:val="18"/>
          <w:szCs w:val="18"/>
          <w:highlight w:val="white"/>
          <w:lang w:val="it-IT"/>
        </w:rPr>
        <w:t xml:space="preserve"> aiuta giovani professionisti e studenti principalmente tra i 18 e i 35 anni, mettendoli in contatto con i proprietari di immobili privati. Attraverso una piattaforma tecnologicamente avanzata, gli inquilini prenotano soggiorni per un periodo che va dai 6 ai 12 mesi fuori dal loro Paese di origine. Con sede a Rotterdam, </w:t>
      </w:r>
      <w:proofErr w:type="spellStart"/>
      <w:r w:rsidR="0051759B" w:rsidRPr="0009391A">
        <w:rPr>
          <w:rFonts w:ascii="Inter" w:eastAsia="Inter" w:hAnsi="Inter" w:cs="Inter"/>
          <w:sz w:val="18"/>
          <w:szCs w:val="18"/>
          <w:highlight w:val="white"/>
          <w:lang w:val="it-IT"/>
        </w:rPr>
        <w:t>HousingAnywhere</w:t>
      </w:r>
      <w:proofErr w:type="spellEnd"/>
      <w:r w:rsidR="0051759B" w:rsidRPr="0009391A">
        <w:rPr>
          <w:rFonts w:ascii="Inter" w:eastAsia="Inter" w:hAnsi="Inter" w:cs="Inter"/>
          <w:sz w:val="18"/>
          <w:szCs w:val="18"/>
          <w:highlight w:val="white"/>
          <w:lang w:val="it-IT"/>
        </w:rPr>
        <w:t xml:space="preserve"> opera nella maggior parte delle città europee e recentemente ha ampliato il suo business anche in alcune città chiave degli Stati Uniti, arrivando a stabilire la sua presenza in oltre 125 città. Guidata dalla missione di aiutare alle persone a vivere dove e come preferiscono grazie a un'esperienza di affitto flessibile, la scale-up tecnologica impiega 250 professionisti a livello globale.</w:t>
      </w:r>
    </w:p>
    <w:p w14:paraId="013E9443" w14:textId="77777777" w:rsidR="0051759B" w:rsidRPr="0009391A" w:rsidRDefault="0051759B" w:rsidP="0051759B">
      <w:pPr>
        <w:spacing w:line="259" w:lineRule="auto"/>
        <w:jc w:val="both"/>
        <w:rPr>
          <w:rFonts w:ascii="Calibri" w:eastAsia="Calibri" w:hAnsi="Calibri" w:cs="Calibri"/>
          <w:sz w:val="18"/>
          <w:szCs w:val="18"/>
          <w:lang w:val="it-IT"/>
        </w:rPr>
      </w:pPr>
    </w:p>
    <w:p w14:paraId="58CA8064" w14:textId="77777777" w:rsidR="0051759B" w:rsidRPr="0009391A" w:rsidRDefault="0051759B" w:rsidP="0051759B">
      <w:pPr>
        <w:spacing w:line="259" w:lineRule="auto"/>
        <w:jc w:val="both"/>
        <w:rPr>
          <w:rFonts w:ascii="Inter" w:eastAsia="Inter" w:hAnsi="Inter" w:cs="Inter"/>
          <w:b/>
          <w:color w:val="FF4B27"/>
          <w:sz w:val="18"/>
          <w:szCs w:val="18"/>
          <w:lang w:val="it-IT"/>
        </w:rPr>
      </w:pPr>
      <w:r w:rsidRPr="0009391A">
        <w:rPr>
          <w:rFonts w:ascii="Inter" w:eastAsia="Inter" w:hAnsi="Inter" w:cs="Inter"/>
          <w:b/>
          <w:color w:val="FF4B27"/>
          <w:sz w:val="18"/>
          <w:szCs w:val="18"/>
          <w:lang w:val="it-IT"/>
        </w:rPr>
        <w:t>Contatti stampa</w:t>
      </w:r>
    </w:p>
    <w:p w14:paraId="6BAC630E" w14:textId="77777777" w:rsidR="0051759B" w:rsidRPr="0009391A" w:rsidRDefault="0051759B" w:rsidP="0051759B">
      <w:pPr>
        <w:spacing w:line="259" w:lineRule="auto"/>
        <w:rPr>
          <w:rFonts w:ascii="Inter" w:eastAsia="Inter" w:hAnsi="Inter" w:cs="Inter"/>
          <w:sz w:val="18"/>
          <w:szCs w:val="18"/>
          <w:highlight w:val="white"/>
          <w:lang w:val="it-IT"/>
        </w:rPr>
      </w:pPr>
      <w:r w:rsidRPr="0009391A">
        <w:rPr>
          <w:rFonts w:ascii="Inter" w:eastAsia="Inter" w:hAnsi="Inter" w:cs="Inter"/>
          <w:sz w:val="18"/>
          <w:szCs w:val="18"/>
          <w:highlight w:val="white"/>
          <w:lang w:val="it-IT"/>
        </w:rPr>
        <w:t>LEWIS</w:t>
      </w:r>
    </w:p>
    <w:p w14:paraId="4F60F683" w14:textId="77777777" w:rsidR="0051759B" w:rsidRPr="0009391A" w:rsidRDefault="0051759B" w:rsidP="0051759B">
      <w:pPr>
        <w:spacing w:line="259" w:lineRule="auto"/>
        <w:rPr>
          <w:rFonts w:ascii="Inter" w:eastAsia="Inter" w:hAnsi="Inter" w:cs="Inter"/>
          <w:sz w:val="18"/>
          <w:szCs w:val="18"/>
          <w:highlight w:val="white"/>
          <w:lang w:val="it-IT"/>
        </w:rPr>
      </w:pPr>
      <w:r w:rsidRPr="0009391A">
        <w:rPr>
          <w:rFonts w:ascii="Inter" w:eastAsia="Inter" w:hAnsi="Inter" w:cs="Inter"/>
          <w:sz w:val="18"/>
          <w:szCs w:val="18"/>
          <w:highlight w:val="white"/>
          <w:lang w:val="it-IT"/>
        </w:rPr>
        <w:t>Chiara Prioli / Giulia Lo Surdo</w:t>
      </w:r>
    </w:p>
    <w:p w14:paraId="55DDE51E" w14:textId="77777777" w:rsidR="0051759B" w:rsidRPr="0009391A" w:rsidRDefault="00000000" w:rsidP="0051759B">
      <w:pPr>
        <w:spacing w:line="259" w:lineRule="auto"/>
        <w:rPr>
          <w:rFonts w:ascii="Inter" w:eastAsia="Inter" w:hAnsi="Inter" w:cs="Inter"/>
          <w:sz w:val="18"/>
          <w:szCs w:val="18"/>
          <w:highlight w:val="white"/>
          <w:lang w:val="en-US"/>
        </w:rPr>
      </w:pPr>
      <w:hyperlink r:id="rId10">
        <w:r w:rsidR="0051759B" w:rsidRPr="0009391A">
          <w:rPr>
            <w:rFonts w:ascii="Inter" w:eastAsia="Inter" w:hAnsi="Inter" w:cs="Inter"/>
            <w:sz w:val="18"/>
            <w:szCs w:val="18"/>
            <w:highlight w:val="white"/>
            <w:lang w:val="en-US"/>
          </w:rPr>
          <w:t>housinganywhereIT@teamlewis.com</w:t>
        </w:r>
      </w:hyperlink>
      <w:r w:rsidR="0051759B" w:rsidRPr="0009391A">
        <w:rPr>
          <w:rFonts w:ascii="Inter" w:eastAsia="Inter" w:hAnsi="Inter" w:cs="Inter"/>
          <w:sz w:val="18"/>
          <w:szCs w:val="18"/>
          <w:highlight w:val="white"/>
          <w:lang w:val="en-US"/>
        </w:rPr>
        <w:t xml:space="preserve"> </w:t>
      </w:r>
    </w:p>
    <w:p w14:paraId="3CAB8E75" w14:textId="77777777" w:rsidR="0051759B" w:rsidRPr="0009391A" w:rsidRDefault="0051759B" w:rsidP="0051759B">
      <w:pPr>
        <w:pBdr>
          <w:top w:val="nil"/>
          <w:left w:val="nil"/>
          <w:bottom w:val="nil"/>
          <w:right w:val="nil"/>
          <w:between w:val="nil"/>
        </w:pBdr>
        <w:rPr>
          <w:rFonts w:ascii="Inter" w:eastAsia="Inter" w:hAnsi="Inter" w:cs="Inter"/>
          <w:sz w:val="18"/>
          <w:szCs w:val="18"/>
          <w:highlight w:val="white"/>
          <w:lang w:val="en-US"/>
        </w:rPr>
      </w:pPr>
      <w:r w:rsidRPr="0009391A">
        <w:rPr>
          <w:rFonts w:ascii="Inter" w:eastAsia="Inter" w:hAnsi="Inter" w:cs="Inter"/>
          <w:sz w:val="18"/>
          <w:szCs w:val="18"/>
          <w:highlight w:val="white"/>
          <w:lang w:val="en-US"/>
        </w:rPr>
        <w:t xml:space="preserve">02 36531375 </w:t>
      </w:r>
    </w:p>
    <w:p w14:paraId="1C850130" w14:textId="77777777" w:rsidR="0051759B" w:rsidRPr="0009391A" w:rsidRDefault="0051759B" w:rsidP="0051759B">
      <w:pPr>
        <w:spacing w:before="240" w:after="240"/>
        <w:jc w:val="both"/>
        <w:rPr>
          <w:sz w:val="18"/>
          <w:szCs w:val="18"/>
          <w:lang w:val="it-IT"/>
        </w:rPr>
      </w:pPr>
    </w:p>
    <w:p w14:paraId="3ADAE12E" w14:textId="76F1A38D" w:rsidR="0009391A" w:rsidRPr="0009391A" w:rsidRDefault="0009391A">
      <w:pPr>
        <w:spacing w:before="240" w:after="240"/>
        <w:jc w:val="both"/>
        <w:rPr>
          <w:sz w:val="18"/>
          <w:szCs w:val="18"/>
          <w:lang w:val="it-IT"/>
        </w:rPr>
      </w:pPr>
    </w:p>
    <w:sectPr w:rsidR="0009391A" w:rsidRPr="0009391A">
      <w:head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BBD17B" w14:textId="77777777" w:rsidR="009F3D63" w:rsidRDefault="009F3D63">
      <w:pPr>
        <w:spacing w:line="240" w:lineRule="auto"/>
      </w:pPr>
      <w:r>
        <w:separator/>
      </w:r>
    </w:p>
  </w:endnote>
  <w:endnote w:type="continuationSeparator" w:id="0">
    <w:p w14:paraId="2AE34578" w14:textId="77777777" w:rsidR="009F3D63" w:rsidRDefault="009F3D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A5BE9CDD-7453-F945-8D7A-4CDAA80D9CB3}"/>
  </w:font>
  <w:font w:name="Arial">
    <w:panose1 w:val="020B0604020202020204"/>
    <w:charset w:val="00"/>
    <w:family w:val="swiss"/>
    <w:pitch w:val="variable"/>
    <w:sig w:usb0="E0002AFF" w:usb1="C0007843" w:usb2="00000009" w:usb3="00000000" w:csb0="000001FF" w:csb1="00000000"/>
    <w:embedRegular r:id="rId2" w:fontKey="{B3A05441-EE31-CA47-9817-0096BC63C7F1}"/>
    <w:embedItalic r:id="rId3" w:fontKey="{E28B50E2-89EE-FD42-BB05-1A2DB891B59D}"/>
  </w:font>
  <w:font w:name="Inter">
    <w:panose1 w:val="020B0604020202020204"/>
    <w:charset w:val="00"/>
    <w:family w:val="auto"/>
    <w:pitch w:val="default"/>
    <w:embedRegular r:id="rId4" w:fontKey="{2F908B2D-E51B-4344-ABE5-E1948E343E94}"/>
    <w:embedBold r:id="rId5" w:fontKey="{6E841BC1-C5CF-B848-A4F6-8EB791337C34}"/>
    <w:embedItalic r:id="rId6" w:fontKey="{A23CB84B-AA87-E14E-BE90-9031A688AF28}"/>
  </w:font>
  <w:font w:name="Calibri">
    <w:panose1 w:val="020F0502020204030204"/>
    <w:charset w:val="00"/>
    <w:family w:val="swiss"/>
    <w:pitch w:val="variable"/>
    <w:sig w:usb0="E0002AFF" w:usb1="C000247B" w:usb2="00000009" w:usb3="00000000" w:csb0="000001FF" w:csb1="00000000"/>
    <w:embedRegular r:id="rId7" w:fontKey="{31A10D0E-0BFF-8F46-9F63-28FBF6014862}"/>
  </w:font>
  <w:font w:name="Cambria">
    <w:panose1 w:val="02040503050406030204"/>
    <w:charset w:val="00"/>
    <w:family w:val="roman"/>
    <w:pitch w:val="variable"/>
    <w:sig w:usb0="E00002FF" w:usb1="400004FF" w:usb2="00000000" w:usb3="00000000" w:csb0="0000019F" w:csb1="00000000"/>
    <w:embedRegular r:id="rId8" w:fontKey="{82116F8D-6F89-C64D-A2AF-73D702DDE4B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6B3402" w14:textId="77777777" w:rsidR="009F3D63" w:rsidRDefault="009F3D63">
      <w:pPr>
        <w:spacing w:line="240" w:lineRule="auto"/>
      </w:pPr>
      <w:r>
        <w:separator/>
      </w:r>
    </w:p>
  </w:footnote>
  <w:footnote w:type="continuationSeparator" w:id="0">
    <w:p w14:paraId="53123165" w14:textId="77777777" w:rsidR="009F3D63" w:rsidRDefault="009F3D6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73A8CF" w14:textId="77777777" w:rsidR="00137AF3" w:rsidRDefault="0082056A">
    <w:pPr>
      <w:jc w:val="center"/>
    </w:pPr>
    <w:r>
      <w:rPr>
        <w:noProof/>
      </w:rPr>
      <w:drawing>
        <wp:inline distT="114300" distB="114300" distL="114300" distR="114300" wp14:anchorId="2067F9F1" wp14:editId="4FEC4B6C">
          <wp:extent cx="1973100" cy="516969"/>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973100" cy="516969"/>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9D7ECD"/>
    <w:multiLevelType w:val="multilevel"/>
    <w:tmpl w:val="C6B0C4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2461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5"/>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AF3"/>
    <w:rsid w:val="00031EE6"/>
    <w:rsid w:val="0009391A"/>
    <w:rsid w:val="00137AF3"/>
    <w:rsid w:val="001640C3"/>
    <w:rsid w:val="002C679C"/>
    <w:rsid w:val="003943AD"/>
    <w:rsid w:val="0051759B"/>
    <w:rsid w:val="00547552"/>
    <w:rsid w:val="005F52C5"/>
    <w:rsid w:val="00600251"/>
    <w:rsid w:val="00792F57"/>
    <w:rsid w:val="0082056A"/>
    <w:rsid w:val="009545B1"/>
    <w:rsid w:val="00965FF8"/>
    <w:rsid w:val="009F3D63"/>
    <w:rsid w:val="00A06521"/>
    <w:rsid w:val="00B802C8"/>
    <w:rsid w:val="00BF3118"/>
    <w:rsid w:val="00C21CED"/>
    <w:rsid w:val="00C90DCB"/>
    <w:rsid w:val="00CA7A12"/>
    <w:rsid w:val="00CE23D2"/>
    <w:rsid w:val="00D00A7A"/>
    <w:rsid w:val="00D25C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C117B7F"/>
  <w15:docId w15:val="{8094DE8B-8273-BA4E-AA49-673BEB13D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 w:type="character" w:styleId="Testosegnaposto">
    <w:name w:val="Placeholder Text"/>
    <w:basedOn w:val="Carpredefinitoparagrafo"/>
    <w:uiPriority w:val="99"/>
    <w:semiHidden/>
    <w:rsid w:val="0009391A"/>
    <w:rPr>
      <w:color w:val="666666"/>
    </w:rPr>
  </w:style>
  <w:style w:type="paragraph" w:styleId="Intestazione">
    <w:name w:val="header"/>
    <w:basedOn w:val="Normale"/>
    <w:link w:val="IntestazioneCarattere"/>
    <w:uiPriority w:val="99"/>
    <w:unhideWhenUsed/>
    <w:rsid w:val="0009391A"/>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09391A"/>
  </w:style>
  <w:style w:type="paragraph" w:styleId="Pidipagina">
    <w:name w:val="footer"/>
    <w:basedOn w:val="Normale"/>
    <w:link w:val="PidipaginaCarattere"/>
    <w:uiPriority w:val="99"/>
    <w:unhideWhenUsed/>
    <w:rsid w:val="0009391A"/>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0939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20516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ousinganywhere.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housinganywhereIT@teamlewis.com" TargetMode="External"/><Relationship Id="rId4" Type="http://schemas.openxmlformats.org/officeDocument/2006/relationships/webSettings" Target="webSettings.xml"/><Relationship Id="rId9" Type="http://schemas.openxmlformats.org/officeDocument/2006/relationships/hyperlink" Target="https://housinganywhere.com/i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1436</Words>
  <Characters>8186</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Giulia Lo Surdo</cp:lastModifiedBy>
  <cp:revision>2</cp:revision>
  <dcterms:created xsi:type="dcterms:W3CDTF">2025-01-08T10:17:00Z</dcterms:created>
  <dcterms:modified xsi:type="dcterms:W3CDTF">2025-01-08T10:17:00Z</dcterms:modified>
</cp:coreProperties>
</file>